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1A92" w14:textId="77777777" w:rsidR="009F5AE3" w:rsidRDefault="001502EF">
      <w:pPr>
        <w:pBdr>
          <w:top w:val="single" w:sz="4" w:space="1" w:color="AAAAAA"/>
          <w:bottom w:val="single" w:sz="4" w:space="1" w:color="AAAAAA"/>
        </w:pBdr>
        <w:shd w:val="clear" w:color="auto" w:fill="F2F2F2"/>
        <w:overflowPunct/>
        <w:spacing w:before="80" w:after="80"/>
        <w:textAlignment w:val="auto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3821DB48" w14:textId="77777777" w:rsidR="001502EF" w:rsidRPr="001502EF" w:rsidRDefault="001502EF" w:rsidP="001502EF">
      <w:pPr>
        <w:pStyle w:val="Heading1"/>
        <w:jc w:val="center"/>
        <w:rPr>
          <w:rStyle w:val="Strong"/>
          <w:rFonts w:ascii="Times New Roman" w:hAnsi="Times New Roman" w:cs="Times New Roman"/>
          <w:bCs w:val="0"/>
        </w:rPr>
      </w:pPr>
    </w:p>
    <w:p w14:paraId="51662F6D" w14:textId="4275B15C" w:rsidR="009F5AE3" w:rsidRPr="001502EF" w:rsidRDefault="001502EF" w:rsidP="001502EF">
      <w:pPr>
        <w:pStyle w:val="Heading1"/>
        <w:jc w:val="center"/>
        <w:rPr>
          <w:rFonts w:ascii="Times New Roman" w:hAnsi="Times New Roman" w:cs="Times New Roman"/>
          <w:b w:val="0"/>
        </w:rPr>
      </w:pPr>
      <w:r w:rsidRPr="001502EF">
        <w:rPr>
          <w:rStyle w:val="Strong"/>
          <w:rFonts w:ascii="Times New Roman" w:hAnsi="Times New Roman" w:cs="Times New Roman"/>
          <w:b/>
        </w:rPr>
        <w:t>CHECKLIST PRE-DEPUNERE DECLARAȚII FISCALE (2026)</w:t>
      </w:r>
    </w:p>
    <w:p w14:paraId="58364103" w14:textId="77777777" w:rsidR="009F5AE3" w:rsidRDefault="009F5AE3">
      <w:pPr>
        <w:pStyle w:val="Heading2"/>
        <w:rPr>
          <w:rFonts w:ascii="Times New Roman" w:hAnsi="Times New Roman" w:cs="Times New Roman"/>
        </w:rPr>
      </w:pPr>
    </w:p>
    <w:p w14:paraId="3468F6D1" w14:textId="05E6303A" w:rsidR="009F5AE3" w:rsidRPr="001502EF" w:rsidRDefault="001502EF">
      <w:pPr>
        <w:pStyle w:val="Heading2"/>
        <w:rPr>
          <w:b w:val="0"/>
          <w:i w:val="0"/>
          <w:iCs/>
        </w:rPr>
      </w:pPr>
      <w:r w:rsidRPr="001502EF">
        <w:rPr>
          <w:rStyle w:val="Strong"/>
          <w:b/>
          <w:i w:val="0"/>
          <w:iCs/>
        </w:rPr>
        <w:t>1. CHECKLIST PRE-DEPUNERE – D112 (Salarii &amp; contribuții)</w:t>
      </w:r>
    </w:p>
    <w:p w14:paraId="39D18AE4" w14:textId="77777777" w:rsidR="009F5AE3" w:rsidRDefault="001502EF">
      <w:pPr>
        <w:pStyle w:val="Heading3"/>
      </w:pPr>
      <w:r>
        <w:t>Documente &amp; date</w:t>
      </w:r>
    </w:p>
    <w:p w14:paraId="36CA13F0" w14:textId="77777777" w:rsidR="009F5AE3" w:rsidRDefault="001502EF">
      <w:pPr>
        <w:pStyle w:val="NormalWeb"/>
      </w:pP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Contractele de muncă sunt corect înregistrate în REVISAL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Statele de plată sunt aprobate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Sporurile și beneficiile sunt incluse corect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Concediile și suspendările sunt reflectate</w:t>
      </w:r>
    </w:p>
    <w:p w14:paraId="016BA021" w14:textId="77777777" w:rsidR="009F5AE3" w:rsidRDefault="001502EF">
      <w:pPr>
        <w:pStyle w:val="Heading3"/>
      </w:pPr>
      <w:r>
        <w:t>Verificări fiscale</w:t>
      </w:r>
    </w:p>
    <w:p w14:paraId="18EABF79" w14:textId="77777777" w:rsidR="009F5AE3" w:rsidRDefault="001502EF">
      <w:pPr>
        <w:pStyle w:val="NormalWeb"/>
      </w:pP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Baza de calcul contribuții este corectă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Cotele aplicate sunt conforme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Corelare D112 ↔ contabilitate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Nu există diferențe față de luna precedentă nejustificate</w:t>
      </w:r>
    </w:p>
    <w:p w14:paraId="00C04241" w14:textId="6AD4D717" w:rsidR="009F5AE3" w:rsidRPr="001502EF" w:rsidRDefault="001502EF">
      <w:pPr>
        <w:pStyle w:val="NormalWeb"/>
        <w:rPr>
          <w:i/>
          <w:iCs/>
        </w:rPr>
      </w:pPr>
      <w:r w:rsidRPr="001502EF">
        <w:rPr>
          <w:rStyle w:val="Strong"/>
          <w:i/>
          <w:iCs/>
        </w:rPr>
        <w:t>Risc major:</w:t>
      </w:r>
      <w:r w:rsidRPr="001502EF">
        <w:rPr>
          <w:i/>
          <w:iCs/>
        </w:rPr>
        <w:br/>
        <w:t>Diferențe nejustificate salariale → indicator de risc fiscal.</w:t>
      </w:r>
    </w:p>
    <w:p w14:paraId="6ABA668E" w14:textId="77777777" w:rsidR="009F5AE3" w:rsidRDefault="009F5AE3">
      <w:pPr>
        <w:pStyle w:val="Heading2"/>
        <w:rPr>
          <w:rFonts w:ascii="Times New Roman" w:hAnsi="Times New Roman" w:cs="Times New Roman"/>
        </w:rPr>
      </w:pPr>
    </w:p>
    <w:p w14:paraId="0BFD3ADB" w14:textId="024C8C23" w:rsidR="009F5AE3" w:rsidRPr="001502EF" w:rsidRDefault="001502EF">
      <w:pPr>
        <w:pStyle w:val="Heading2"/>
        <w:rPr>
          <w:b w:val="0"/>
          <w:i w:val="0"/>
          <w:iCs/>
        </w:rPr>
      </w:pPr>
      <w:r w:rsidRPr="001502EF">
        <w:rPr>
          <w:rStyle w:val="Strong"/>
          <w:b/>
          <w:i w:val="0"/>
          <w:iCs/>
        </w:rPr>
        <w:t>2. CHECKLIST PRE-DEPUNERE – D300 (Decont TVA)</w:t>
      </w:r>
    </w:p>
    <w:p w14:paraId="0CC7A20D" w14:textId="77777777" w:rsidR="009F5AE3" w:rsidRDefault="001502EF">
      <w:pPr>
        <w:pStyle w:val="Heading3"/>
      </w:pPr>
      <w:r>
        <w:t>Documente &amp; evidențe</w:t>
      </w:r>
    </w:p>
    <w:p w14:paraId="61A092EE" w14:textId="77777777" w:rsidR="009F5AE3" w:rsidRDefault="001502EF">
      <w:pPr>
        <w:pStyle w:val="NormalWeb"/>
      </w:pP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Jurnal vânzări complet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Jurnal cumpărări complet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Facturile sunt înregistrate integral</w:t>
      </w:r>
    </w:p>
    <w:p w14:paraId="683195DE" w14:textId="77777777" w:rsidR="009F5AE3" w:rsidRDefault="001502EF">
      <w:pPr>
        <w:pStyle w:val="Heading3"/>
      </w:pPr>
      <w:r>
        <w:t>Corelări obligatorii 2026</w:t>
      </w:r>
    </w:p>
    <w:p w14:paraId="514F4495" w14:textId="77777777" w:rsidR="009F5AE3" w:rsidRDefault="001502EF">
      <w:pPr>
        <w:pStyle w:val="NormalWeb"/>
      </w:pP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Reconciliere e-Factura ↔ jurnal vânzări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TVA deductibil justificat documentar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TVA colectat corect calculat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Corelare D300 ↔ balanță</w:t>
      </w:r>
    </w:p>
    <w:p w14:paraId="6906E749" w14:textId="4DA8DB14" w:rsidR="009F5AE3" w:rsidRPr="001502EF" w:rsidRDefault="001502EF">
      <w:pPr>
        <w:pStyle w:val="NormalWeb"/>
        <w:rPr>
          <w:i/>
          <w:iCs/>
        </w:rPr>
      </w:pPr>
      <w:r w:rsidRPr="001502EF">
        <w:rPr>
          <w:rStyle w:val="Strong"/>
          <w:i/>
          <w:iCs/>
        </w:rPr>
        <w:lastRenderedPageBreak/>
        <w:t>Risc critic:</w:t>
      </w:r>
      <w:r w:rsidRPr="001502EF">
        <w:rPr>
          <w:i/>
          <w:iCs/>
        </w:rPr>
        <w:br/>
        <w:t xml:space="preserve">Neconcordanțe e-Factura ↔ TVA </w:t>
      </w:r>
      <w:r w:rsidRPr="001502EF">
        <w:rPr>
          <w:i/>
          <w:iCs/>
        </w:rPr>
        <w:t>declarat = alertă automată ANAF.</w:t>
      </w:r>
    </w:p>
    <w:p w14:paraId="5276DA8B" w14:textId="77777777" w:rsidR="001502EF" w:rsidRPr="001502EF" w:rsidRDefault="001502EF">
      <w:pPr>
        <w:pStyle w:val="Heading2"/>
      </w:pPr>
    </w:p>
    <w:p w14:paraId="669F6ED4" w14:textId="34AAE5BB" w:rsidR="009F5AE3" w:rsidRPr="001502EF" w:rsidRDefault="001502EF">
      <w:pPr>
        <w:pStyle w:val="Heading2"/>
        <w:rPr>
          <w:b w:val="0"/>
          <w:i w:val="0"/>
          <w:iCs/>
        </w:rPr>
      </w:pPr>
      <w:r w:rsidRPr="001502EF">
        <w:rPr>
          <w:rStyle w:val="Strong"/>
          <w:b/>
          <w:i w:val="0"/>
          <w:iCs/>
        </w:rPr>
        <w:t>3. CHECKLIST PRE-DEPUNERE – D394 (TVA informativ)</w:t>
      </w:r>
    </w:p>
    <w:p w14:paraId="0D6BA3D8" w14:textId="77777777" w:rsidR="009F5AE3" w:rsidRDefault="001502EF">
      <w:pPr>
        <w:pStyle w:val="NormalWeb"/>
      </w:pP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Partenerii sunt corect identificați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Codurile TVA sunt valide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Facturile sunt raportate integral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Corelare D394 ↔ D300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Nu există diferențe între livrări/prestări și TVA declarat</w:t>
      </w:r>
    </w:p>
    <w:p w14:paraId="75794D5D" w14:textId="1B3C0B9B" w:rsidR="009F5AE3" w:rsidRPr="001502EF" w:rsidRDefault="001502EF">
      <w:pPr>
        <w:pStyle w:val="NormalWeb"/>
        <w:rPr>
          <w:i/>
          <w:iCs/>
        </w:rPr>
      </w:pPr>
      <w:r w:rsidRPr="001502EF">
        <w:rPr>
          <w:rStyle w:val="Strong"/>
          <w:i/>
          <w:iCs/>
        </w:rPr>
        <w:t>Bună practică:</w:t>
      </w:r>
      <w:r w:rsidRPr="001502EF">
        <w:rPr>
          <w:i/>
          <w:iCs/>
        </w:rPr>
        <w:br/>
        <w:t xml:space="preserve">D394 se verifică întotdeauna </w:t>
      </w:r>
      <w:r w:rsidRPr="001502EF">
        <w:rPr>
          <w:rStyle w:val="Strong"/>
          <w:i/>
          <w:iCs/>
        </w:rPr>
        <w:t>după</w:t>
      </w:r>
      <w:r w:rsidRPr="001502EF">
        <w:rPr>
          <w:i/>
          <w:iCs/>
        </w:rPr>
        <w:t xml:space="preserve"> D300.</w:t>
      </w:r>
    </w:p>
    <w:p w14:paraId="4999D5F5" w14:textId="77777777" w:rsidR="009F5AE3" w:rsidRDefault="009F5AE3">
      <w:pPr>
        <w:pStyle w:val="Heading2"/>
        <w:rPr>
          <w:rFonts w:ascii="Times New Roman" w:hAnsi="Times New Roman" w:cs="Times New Roman"/>
        </w:rPr>
      </w:pPr>
    </w:p>
    <w:p w14:paraId="2DB1E482" w14:textId="6995F686" w:rsidR="009F5AE3" w:rsidRPr="001502EF" w:rsidRDefault="001502EF">
      <w:pPr>
        <w:pStyle w:val="Heading2"/>
        <w:rPr>
          <w:b w:val="0"/>
          <w:i w:val="0"/>
          <w:iCs/>
        </w:rPr>
      </w:pPr>
      <w:r w:rsidRPr="001502EF">
        <w:rPr>
          <w:rStyle w:val="Strong"/>
          <w:b/>
          <w:i w:val="0"/>
          <w:iCs/>
        </w:rPr>
        <w:t>4. CHECKLIST PRE-DEPUNERE – D100 (Obligații de plată)</w:t>
      </w:r>
    </w:p>
    <w:p w14:paraId="1C98142A" w14:textId="77777777" w:rsidR="009F5AE3" w:rsidRDefault="001502EF">
      <w:pPr>
        <w:pStyle w:val="NormalWeb"/>
      </w:pP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Obligațiile sunt corect identificate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Sumele corespund calculelor interne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Corelare cu declarațiile aferente (D112 / TVA / micro)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Nu există obligații dublate sau omise</w:t>
      </w:r>
    </w:p>
    <w:p w14:paraId="114A46EF" w14:textId="391F5BE1" w:rsidR="009F5AE3" w:rsidRPr="001502EF" w:rsidRDefault="001502EF">
      <w:pPr>
        <w:pStyle w:val="NormalWeb"/>
        <w:rPr>
          <w:i/>
          <w:iCs/>
        </w:rPr>
      </w:pPr>
      <w:r w:rsidRPr="001502EF">
        <w:rPr>
          <w:i/>
          <w:iCs/>
        </w:rPr>
        <w:t>D100 greșit → creanțe eronate + penalități.</w:t>
      </w:r>
    </w:p>
    <w:p w14:paraId="698FF0B9" w14:textId="77777777" w:rsidR="009F5AE3" w:rsidRDefault="009F5AE3">
      <w:pPr>
        <w:pStyle w:val="Heading2"/>
        <w:rPr>
          <w:rFonts w:ascii="Times New Roman" w:hAnsi="Times New Roman" w:cs="Times New Roman"/>
        </w:rPr>
      </w:pPr>
    </w:p>
    <w:p w14:paraId="5212E85C" w14:textId="0314A17B" w:rsidR="009F5AE3" w:rsidRPr="001502EF" w:rsidRDefault="001502EF">
      <w:pPr>
        <w:pStyle w:val="Heading2"/>
        <w:rPr>
          <w:b w:val="0"/>
          <w:i w:val="0"/>
          <w:iCs/>
        </w:rPr>
      </w:pPr>
      <w:r w:rsidRPr="001502EF">
        <w:rPr>
          <w:rStyle w:val="Strong"/>
          <w:b/>
          <w:i w:val="0"/>
          <w:iCs/>
        </w:rPr>
        <w:t>5. CHECKLIST PRE-DEPUNERE – Impozit microîntreprindere</w:t>
      </w:r>
    </w:p>
    <w:p w14:paraId="3A68F4A1" w14:textId="77777777" w:rsidR="009F5AE3" w:rsidRDefault="001502EF">
      <w:pPr>
        <w:pStyle w:val="NormalWeb"/>
      </w:pP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Sunt îndeplinite condițiile de micro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Veniturile sunt corect determinate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Excluderile sunt aplicate corect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Corelare cu contabilitatea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Monitorizare plafon venituri</w:t>
      </w:r>
    </w:p>
    <w:p w14:paraId="677D8AD8" w14:textId="49839DE3" w:rsidR="009F5AE3" w:rsidRPr="001502EF" w:rsidRDefault="001502EF">
      <w:pPr>
        <w:pStyle w:val="NormalWeb"/>
        <w:rPr>
          <w:i/>
          <w:iCs/>
        </w:rPr>
      </w:pPr>
      <w:r w:rsidRPr="001502EF">
        <w:rPr>
          <w:rStyle w:val="Strong"/>
          <w:i/>
          <w:iCs/>
        </w:rPr>
        <w:t>Risc major 2026:</w:t>
      </w:r>
      <w:r w:rsidRPr="001502EF">
        <w:rPr>
          <w:i/>
          <w:iCs/>
        </w:rPr>
        <w:br/>
        <w:t>Aplicarea incorectă a regimului micro → recalcul impozit profit + penalități.</w:t>
      </w:r>
    </w:p>
    <w:p w14:paraId="56446FD0" w14:textId="77777777" w:rsidR="009F5AE3" w:rsidRDefault="009F5AE3">
      <w:pPr>
        <w:pStyle w:val="Heading2"/>
        <w:rPr>
          <w:rFonts w:ascii="Times New Roman" w:hAnsi="Times New Roman" w:cs="Times New Roman"/>
        </w:rPr>
      </w:pPr>
    </w:p>
    <w:p w14:paraId="1A825542" w14:textId="594CDBC4" w:rsidR="009F5AE3" w:rsidRPr="001502EF" w:rsidRDefault="001502EF">
      <w:pPr>
        <w:pStyle w:val="Heading2"/>
        <w:rPr>
          <w:b w:val="0"/>
          <w:i w:val="0"/>
          <w:iCs/>
        </w:rPr>
      </w:pPr>
      <w:r w:rsidRPr="001502EF">
        <w:rPr>
          <w:rStyle w:val="Strong"/>
          <w:b/>
          <w:i w:val="0"/>
          <w:iCs/>
        </w:rPr>
        <w:t>6. CHECKLIST PRE-DEPUNERE – D101 (Impozit pe profit)</w:t>
      </w:r>
    </w:p>
    <w:p w14:paraId="150D7E86" w14:textId="77777777" w:rsidR="009F5AE3" w:rsidRDefault="001502EF">
      <w:pPr>
        <w:pStyle w:val="NormalWeb"/>
      </w:pP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Venituri corect înregistrate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Cheltuieli deductibile documentate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Ajustări fiscale justificate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lastRenderedPageBreak/>
        <w:t>☐</w:t>
      </w:r>
      <w:r>
        <w:t xml:space="preserve"> Pierderi fiscale corect reportate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Corelare cu situațiile financiare</w:t>
      </w:r>
    </w:p>
    <w:p w14:paraId="41BBA156" w14:textId="7497D7ED" w:rsidR="009F5AE3" w:rsidRPr="001502EF" w:rsidRDefault="001502EF">
      <w:pPr>
        <w:pStyle w:val="NormalWeb"/>
        <w:rPr>
          <w:i/>
          <w:iCs/>
        </w:rPr>
      </w:pPr>
      <w:r w:rsidRPr="001502EF">
        <w:rPr>
          <w:i/>
          <w:iCs/>
        </w:rPr>
        <w:t>D101 este una dintre cele mai verificate declarații la control.</w:t>
      </w:r>
    </w:p>
    <w:p w14:paraId="56294518" w14:textId="77777777" w:rsidR="009F5AE3" w:rsidRDefault="009F5AE3">
      <w:pPr>
        <w:pStyle w:val="Heading2"/>
        <w:rPr>
          <w:rFonts w:ascii="Times New Roman" w:hAnsi="Times New Roman" w:cs="Times New Roman"/>
        </w:rPr>
      </w:pPr>
    </w:p>
    <w:p w14:paraId="084C964B" w14:textId="00438441" w:rsidR="009F5AE3" w:rsidRPr="001502EF" w:rsidRDefault="001502EF">
      <w:pPr>
        <w:pStyle w:val="Heading2"/>
        <w:rPr>
          <w:b w:val="0"/>
          <w:i w:val="0"/>
          <w:iCs/>
        </w:rPr>
      </w:pPr>
      <w:r w:rsidRPr="001502EF">
        <w:rPr>
          <w:rStyle w:val="Strong"/>
          <w:b/>
          <w:i w:val="0"/>
          <w:iCs/>
        </w:rPr>
        <w:t>7. CHECKLIST PRE-DEPUNERE – e-Factura (monitorizare continuă)</w:t>
      </w:r>
    </w:p>
    <w:p w14:paraId="7D2E7649" w14:textId="77777777" w:rsidR="009F5AE3" w:rsidRDefault="001502EF">
      <w:pPr>
        <w:pStyle w:val="NormalWeb"/>
      </w:pP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Facturile sunt transmise în termen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Codurile fiscale sunt corecte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Facturile respinse sunt corectate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Corelare cu TVA declarat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Arhivare electronică completă</w:t>
      </w:r>
    </w:p>
    <w:p w14:paraId="7A7CD3D0" w14:textId="39356D7B" w:rsidR="009F5AE3" w:rsidRPr="001502EF" w:rsidRDefault="001502EF">
      <w:pPr>
        <w:pStyle w:val="NormalWeb"/>
        <w:rPr>
          <w:i/>
          <w:iCs/>
        </w:rPr>
      </w:pPr>
      <w:r w:rsidRPr="001502EF">
        <w:rPr>
          <w:rStyle w:val="Strong"/>
          <w:i/>
          <w:iCs/>
        </w:rPr>
        <w:t>2026:</w:t>
      </w:r>
      <w:r w:rsidRPr="001502EF">
        <w:rPr>
          <w:i/>
          <w:iCs/>
        </w:rPr>
        <w:br/>
        <w:t>e-Factura este sursă primară de analiză de risc ANAF.</w:t>
      </w:r>
    </w:p>
    <w:p w14:paraId="21D6D829" w14:textId="77777777" w:rsidR="009F5AE3" w:rsidRDefault="009F5AE3">
      <w:pPr>
        <w:pStyle w:val="Heading2"/>
        <w:rPr>
          <w:rFonts w:ascii="Times New Roman" w:hAnsi="Times New Roman" w:cs="Times New Roman"/>
        </w:rPr>
      </w:pPr>
    </w:p>
    <w:p w14:paraId="4A2F71A3" w14:textId="51B5E68B" w:rsidR="009F5AE3" w:rsidRPr="001502EF" w:rsidRDefault="001502EF">
      <w:pPr>
        <w:pStyle w:val="Heading2"/>
        <w:rPr>
          <w:b w:val="0"/>
          <w:i w:val="0"/>
          <w:iCs/>
        </w:rPr>
      </w:pPr>
      <w:r w:rsidRPr="001502EF">
        <w:rPr>
          <w:rStyle w:val="Strong"/>
          <w:b/>
          <w:i w:val="0"/>
          <w:iCs/>
        </w:rPr>
        <w:t>8. CHECKLIST PRE-DEPUNERE – SAF-T (D406), dacă aplicabil</w:t>
      </w:r>
    </w:p>
    <w:p w14:paraId="192764C4" w14:textId="77777777" w:rsidR="009F5AE3" w:rsidRDefault="001502EF">
      <w:pPr>
        <w:pStyle w:val="NormalWeb"/>
      </w:pP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Structura fișierului este validă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Datele sunt complete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Corelare SAF-T ↔ contabilitate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Nu există erori de validare</w:t>
      </w:r>
    </w:p>
    <w:p w14:paraId="175171EC" w14:textId="77777777" w:rsidR="009F5AE3" w:rsidRDefault="009F5AE3">
      <w:pPr>
        <w:pStyle w:val="Heading1"/>
        <w:rPr>
          <w:rFonts w:ascii="Times New Roman" w:hAnsi="Times New Roman" w:cs="Times New Roman"/>
        </w:rPr>
      </w:pPr>
    </w:p>
    <w:p w14:paraId="2A8C1F7C" w14:textId="4A5A4913" w:rsidR="009F5AE3" w:rsidRPr="001502EF" w:rsidRDefault="001502EF">
      <w:pPr>
        <w:pStyle w:val="Heading1"/>
        <w:rPr>
          <w:b w:val="0"/>
        </w:rPr>
      </w:pPr>
      <w:r w:rsidRPr="001502EF">
        <w:rPr>
          <w:rStyle w:val="Strong"/>
          <w:b/>
        </w:rPr>
        <w:t>CHECKLIST FINAL – ÎNAINTE DE DEPUNERE</w:t>
      </w:r>
    </w:p>
    <w:p w14:paraId="5CA0AD17" w14:textId="77777777" w:rsidR="009F5AE3" w:rsidRDefault="001502EF">
      <w:pPr>
        <w:pStyle w:val="NormalWeb"/>
      </w:pP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Declarația este completată integral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Datele sunt corecte și coerente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Corelare cu declarații conexe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Administratorul este informat (unde e cazul)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Dovada depunerii va fi arhivată</w:t>
      </w:r>
    </w:p>
    <w:p w14:paraId="1B1D2B6B" w14:textId="77777777" w:rsidR="009F5AE3" w:rsidRDefault="009F5AE3">
      <w:pPr>
        <w:pStyle w:val="Heading2"/>
        <w:rPr>
          <w:rFonts w:ascii="Times New Roman" w:hAnsi="Times New Roman" w:cs="Times New Roman"/>
        </w:rPr>
      </w:pPr>
    </w:p>
    <w:p w14:paraId="4917561A" w14:textId="04B22AEF" w:rsidR="009F5AE3" w:rsidRPr="001502EF" w:rsidRDefault="001502EF">
      <w:pPr>
        <w:pStyle w:val="Heading2"/>
        <w:rPr>
          <w:b w:val="0"/>
          <w:i w:val="0"/>
          <w:iCs/>
        </w:rPr>
      </w:pPr>
      <w:r w:rsidRPr="001502EF">
        <w:rPr>
          <w:rStyle w:val="Strong"/>
          <w:b/>
          <w:i w:val="0"/>
          <w:iCs/>
        </w:rPr>
        <w:t>RECOMANDARE PROFESIONALĂ</w:t>
      </w:r>
    </w:p>
    <w:p w14:paraId="1F4F000F" w14:textId="4225BBCF" w:rsidR="009F5AE3" w:rsidRDefault="001502EF">
      <w:pPr>
        <w:pStyle w:val="NormalWeb"/>
      </w:pPr>
      <w:r>
        <w:t>Aceste checklist-uri:</w:t>
      </w:r>
    </w:p>
    <w:p w14:paraId="34C20668" w14:textId="77777777" w:rsidR="009F5AE3" w:rsidRDefault="001502EF">
      <w:pPr>
        <w:pStyle w:val="NormalWeb"/>
        <w:numPr>
          <w:ilvl w:val="0"/>
          <w:numId w:val="2"/>
        </w:numPr>
      </w:pPr>
      <w:r>
        <w:t>reduc drastic rectificările;</w:t>
      </w:r>
    </w:p>
    <w:p w14:paraId="127C9E26" w14:textId="77777777" w:rsidR="009F5AE3" w:rsidRDefault="001502EF">
      <w:pPr>
        <w:pStyle w:val="NormalWeb"/>
        <w:numPr>
          <w:ilvl w:val="0"/>
          <w:numId w:val="2"/>
        </w:numPr>
      </w:pPr>
      <w:r>
        <w:t>scad scorul de risc fiscal;</w:t>
      </w:r>
    </w:p>
    <w:p w14:paraId="51CBCD87" w14:textId="77777777" w:rsidR="009F5AE3" w:rsidRDefault="001502EF">
      <w:pPr>
        <w:pStyle w:val="NormalWeb"/>
        <w:numPr>
          <w:ilvl w:val="0"/>
          <w:numId w:val="2"/>
        </w:numPr>
      </w:pPr>
      <w:r>
        <w:t xml:space="preserve">sunt </w:t>
      </w:r>
      <w:r>
        <w:rPr>
          <w:rStyle w:val="Strong"/>
        </w:rPr>
        <w:t>dovezi directe de diligență</w:t>
      </w:r>
      <w:r>
        <w:t>;</w:t>
      </w:r>
    </w:p>
    <w:p w14:paraId="129896F4" w14:textId="77777777" w:rsidR="009F5AE3" w:rsidRDefault="001502EF">
      <w:pPr>
        <w:pStyle w:val="NormalWeb"/>
        <w:numPr>
          <w:ilvl w:val="0"/>
          <w:numId w:val="2"/>
        </w:numPr>
      </w:pPr>
      <w:r>
        <w:t>pot fi prezentate la control ANAF.</w:t>
      </w:r>
    </w:p>
    <w:p w14:paraId="02E3B921" w14:textId="77777777" w:rsidR="009F5AE3" w:rsidRDefault="009F5AE3">
      <w:pPr>
        <w:rPr>
          <w:lang w:val="ro-RO"/>
        </w:rPr>
      </w:pPr>
    </w:p>
    <w:sectPr w:rsidR="009F5AE3"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MS Gothic;ＭＳ ゴシック">
    <w:altName w:val="Yu Gothic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47C8D"/>
    <w:multiLevelType w:val="multilevel"/>
    <w:tmpl w:val="0F487F26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DE1222"/>
    <w:multiLevelType w:val="multilevel"/>
    <w:tmpl w:val="CFE8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761634585">
    <w:abstractNumId w:val="0"/>
  </w:num>
  <w:num w:numId="2" w16cid:durableId="1698391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usePrinterMetrics/>
    <w:doNotBreakWrappedTables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F5AE3"/>
    <w:rsid w:val="001502EF"/>
    <w:rsid w:val="009F5AE3"/>
    <w:rsid w:val="00B6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D3250"/>
  <w15:docId w15:val="{1CF04BA2-AF7F-405B-89FB-A5D0D853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  <w:lang w:val="ro-RO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8"/>
      <w:lang w:val="ro-RO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ro-RO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BodyText"/>
    <w:uiPriority w:val="9"/>
    <w:semiHidden/>
    <w:unhideWhenUsed/>
    <w:qFormat/>
    <w:pPr>
      <w:numPr>
        <w:ilvl w:val="5"/>
        <w:numId w:val="1"/>
      </w:numPr>
      <w:spacing w:before="100" w:after="100"/>
      <w:jc w:val="center"/>
      <w:outlineLvl w:val="5"/>
    </w:pPr>
    <w:rPr>
      <w:b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3z0">
    <w:name w:val="WW8Num13z0"/>
    <w:qFormat/>
    <w:rPr>
      <w:rFonts w:ascii="Symbol" w:hAnsi="Symbol" w:cs="Symbol"/>
      <w:sz w:val="20"/>
    </w:rPr>
  </w:style>
  <w:style w:type="character" w:customStyle="1" w:styleId="WW8Num13z1">
    <w:name w:val="WW8Num13z1"/>
    <w:qFormat/>
    <w:rPr>
      <w:rFonts w:ascii="Courier New" w:hAnsi="Courier New" w:cs="Courier New"/>
      <w:sz w:val="20"/>
    </w:rPr>
  </w:style>
  <w:style w:type="character" w:customStyle="1" w:styleId="WW8Num13z2">
    <w:name w:val="WW8Num13z2"/>
    <w:qFormat/>
    <w:rPr>
      <w:rFonts w:ascii="Wingdings" w:hAnsi="Wingdings" w:cs="Wingdings"/>
      <w:sz w:val="20"/>
    </w:rPr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5z0">
    <w:name w:val="WW8Num15z0"/>
    <w:qFormat/>
    <w:rPr>
      <w:rFonts w:ascii="Symbol" w:hAnsi="Symbol" w:cs="Symbol"/>
      <w:sz w:val="20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WW8Num19z0">
    <w:name w:val="WW8Num19z0"/>
    <w:qFormat/>
    <w:rPr>
      <w:rFonts w:ascii="Symbol" w:hAnsi="Symbol" w:cs="Symbol"/>
      <w:sz w:val="20"/>
    </w:rPr>
  </w:style>
  <w:style w:type="character" w:customStyle="1" w:styleId="WW8Num19z1">
    <w:name w:val="WW8Num19z1"/>
    <w:qFormat/>
    <w:rPr>
      <w:rFonts w:ascii="Courier New" w:hAnsi="Courier New" w:cs="Courier New"/>
      <w:sz w:val="20"/>
    </w:rPr>
  </w:style>
  <w:style w:type="character" w:customStyle="1" w:styleId="WW8Num19z2">
    <w:name w:val="WW8Num19z2"/>
    <w:qFormat/>
    <w:rPr>
      <w:rFonts w:ascii="Wingdings" w:hAnsi="Wingdings" w:cs="Wingdings"/>
      <w:sz w:val="20"/>
    </w:rPr>
  </w:style>
  <w:style w:type="character" w:customStyle="1" w:styleId="WW8Num20z0">
    <w:name w:val="WW8Num20z0"/>
    <w:qFormat/>
    <w:rPr>
      <w:rFonts w:ascii="Symbol" w:hAnsi="Symbol" w:cs="Symbol"/>
      <w:sz w:val="20"/>
    </w:rPr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  <w:rPr>
      <w:rFonts w:ascii="Wingdings" w:hAnsi="Wingdings" w:cs="Wingdings"/>
      <w:sz w:val="20"/>
    </w:rPr>
  </w:style>
  <w:style w:type="character" w:customStyle="1" w:styleId="WW8Num21z0">
    <w:name w:val="WW8Num21z0"/>
    <w:qFormat/>
    <w:rPr>
      <w:rFonts w:ascii="Symbol" w:hAnsi="Symbol" w:cs="Symbol"/>
      <w:sz w:val="20"/>
    </w:rPr>
  </w:style>
  <w:style w:type="character" w:customStyle="1" w:styleId="WW8Num21z1">
    <w:name w:val="WW8Num21z1"/>
    <w:qFormat/>
    <w:rPr>
      <w:rFonts w:ascii="Courier New" w:hAnsi="Courier New" w:cs="Courier New"/>
      <w:sz w:val="20"/>
    </w:rPr>
  </w:style>
  <w:style w:type="character" w:customStyle="1" w:styleId="WW8Num21z2">
    <w:name w:val="WW8Num21z2"/>
    <w:qFormat/>
    <w:rPr>
      <w:rFonts w:ascii="Wingdings" w:hAnsi="Wingdings" w:cs="Wingdings"/>
      <w:sz w:val="20"/>
    </w:rPr>
  </w:style>
  <w:style w:type="character" w:customStyle="1" w:styleId="WW8Num22z0">
    <w:name w:val="WW8Num22z0"/>
    <w:qFormat/>
    <w:rPr>
      <w:rFonts w:ascii="Symbol" w:hAnsi="Symbol" w:cs="Symbol"/>
      <w:sz w:val="20"/>
    </w:rPr>
  </w:style>
  <w:style w:type="character" w:customStyle="1" w:styleId="WW8Num22z1">
    <w:name w:val="WW8Num22z1"/>
    <w:qFormat/>
    <w:rPr>
      <w:rFonts w:ascii="Courier New" w:hAnsi="Courier New" w:cs="Courier New"/>
      <w:sz w:val="20"/>
    </w:rPr>
  </w:style>
  <w:style w:type="character" w:customStyle="1" w:styleId="WW8Num22z2">
    <w:name w:val="WW8Num22z2"/>
    <w:qFormat/>
    <w:rPr>
      <w:rFonts w:ascii="Wingdings" w:hAnsi="Wingdings" w:cs="Wingdings"/>
      <w:sz w:val="20"/>
    </w:rPr>
  </w:style>
  <w:style w:type="character" w:customStyle="1" w:styleId="WW8Num23z0">
    <w:name w:val="WW8Num23z0"/>
    <w:qFormat/>
    <w:rPr>
      <w:rFonts w:ascii="Symbol" w:hAnsi="Symbol" w:cs="Symbol"/>
      <w:sz w:val="20"/>
    </w:rPr>
  </w:style>
  <w:style w:type="character" w:customStyle="1" w:styleId="WW8Num23z1">
    <w:name w:val="WW8Num23z1"/>
    <w:qFormat/>
    <w:rPr>
      <w:rFonts w:ascii="Courier New" w:hAnsi="Courier New" w:cs="Courier New"/>
      <w:sz w:val="20"/>
    </w:rPr>
  </w:style>
  <w:style w:type="character" w:customStyle="1" w:styleId="WW8Num23z2">
    <w:name w:val="WW8Num23z2"/>
    <w:qFormat/>
    <w:rPr>
      <w:rFonts w:ascii="Wingdings" w:hAnsi="Wingdings" w:cs="Wingdings"/>
      <w:sz w:val="20"/>
    </w:rPr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Symbol" w:hAnsi="Symbol" w:cs="Symbol"/>
      <w:sz w:val="20"/>
    </w:rPr>
  </w:style>
  <w:style w:type="character" w:customStyle="1" w:styleId="WW8Num25z1">
    <w:name w:val="WW8Num25z1"/>
    <w:qFormat/>
    <w:rPr>
      <w:rFonts w:ascii="Courier New" w:hAnsi="Courier New" w:cs="Courier New"/>
      <w:sz w:val="20"/>
    </w:rPr>
  </w:style>
  <w:style w:type="character" w:customStyle="1" w:styleId="WW8Num25z2">
    <w:name w:val="WW8Num25z2"/>
    <w:qFormat/>
    <w:rPr>
      <w:rFonts w:ascii="Wingdings" w:hAnsi="Wingdings" w:cs="Wingdings"/>
      <w:sz w:val="20"/>
    </w:rPr>
  </w:style>
  <w:style w:type="character" w:customStyle="1" w:styleId="supratitlu">
    <w:name w:val="supratitlu"/>
    <w:basedOn w:val="DefaultParagraphFont"/>
    <w:qFormat/>
    <w:rPr>
      <w:rFonts w:ascii="Verdana" w:hAnsi="Verdana" w:cs="Verdana"/>
      <w:sz w:val="28"/>
    </w:rPr>
  </w:style>
  <w:style w:type="character" w:customStyle="1" w:styleId="textchiorChar">
    <w:name w:val="text chior Char"/>
    <w:basedOn w:val="DefaultParagraphFont"/>
    <w:qFormat/>
    <w:rPr>
      <w:rFonts w:ascii="Verdana" w:hAnsi="Verdana" w:cs="Verdana"/>
      <w:lang w:bidi="ar-SA"/>
    </w:rPr>
  </w:style>
  <w:style w:type="character" w:customStyle="1" w:styleId="verd10boldChar">
    <w:name w:val="verd 10 bold Char"/>
    <w:basedOn w:val="DefaultParagraphFont"/>
    <w:qFormat/>
    <w:rPr>
      <w:rFonts w:ascii="Verdana" w:hAnsi="Verdana" w:cs="Verdana"/>
      <w:b/>
      <w:lang w:val="ro-RO" w:bidi="ar-SA"/>
    </w:rPr>
  </w:style>
  <w:style w:type="character" w:customStyle="1" w:styleId="verdanaChar">
    <w:name w:val="verdana Char"/>
    <w:basedOn w:val="DefaultParagraphFont"/>
    <w:qFormat/>
    <w:rPr>
      <w:rFonts w:ascii="Verdana" w:hAnsi="Verdana" w:cs="Verdana"/>
      <w:lang w:bidi="ar-SA"/>
    </w:rPr>
  </w:style>
  <w:style w:type="character" w:customStyle="1" w:styleId="paragraf1">
    <w:name w:val="paragraf1"/>
    <w:basedOn w:val="DefaultParagraphFont"/>
    <w:qFormat/>
    <w:rPr>
      <w:shd w:val="clear" w:color="auto" w:fill="auto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obipemijloc">
    <w:name w:val="dobi pe mijloc"/>
    <w:basedOn w:val="Normal"/>
    <w:qFormat/>
    <w:pPr>
      <w:jc w:val="center"/>
    </w:pPr>
    <w:rPr>
      <w:rFonts w:ascii="Verdana" w:hAnsi="Verdana" w:cs="Verdana"/>
      <w:sz w:val="20"/>
    </w:rPr>
  </w:style>
  <w:style w:type="paragraph" w:customStyle="1" w:styleId="subtitlu">
    <w:name w:val="subtitlu"/>
    <w:basedOn w:val="Normal"/>
    <w:qFormat/>
    <w:pPr>
      <w:jc w:val="center"/>
    </w:pPr>
    <w:rPr>
      <w:rFonts w:ascii="Verdana" w:hAnsi="Verdana" w:cs="Verdana"/>
      <w:sz w:val="28"/>
      <w:lang w:val="ro-RO"/>
    </w:rPr>
  </w:style>
  <w:style w:type="paragraph" w:customStyle="1" w:styleId="textchior">
    <w:name w:val="text chior"/>
    <w:basedOn w:val="Normal"/>
    <w:qFormat/>
    <w:rPr>
      <w:rFonts w:ascii="Verdana" w:hAnsi="Verdana" w:cs="Verdana"/>
      <w:sz w:val="20"/>
    </w:rPr>
  </w:style>
  <w:style w:type="paragraph" w:customStyle="1" w:styleId="titlu">
    <w:name w:val="titlu"/>
    <w:basedOn w:val="Normal"/>
    <w:qFormat/>
    <w:pPr>
      <w:jc w:val="center"/>
    </w:pPr>
    <w:rPr>
      <w:rFonts w:ascii="Verdana" w:hAnsi="Verdana" w:cs="Verdana"/>
      <w:b/>
      <w:caps/>
      <w:sz w:val="32"/>
      <w:lang w:val="ro-RO"/>
    </w:rPr>
  </w:style>
  <w:style w:type="paragraph" w:customStyle="1" w:styleId="datatitlu">
    <w:name w:val="data titlu"/>
    <w:basedOn w:val="titlu"/>
    <w:qFormat/>
    <w:rPr>
      <w:caps w:val="0"/>
    </w:rPr>
  </w:style>
  <w:style w:type="paragraph" w:customStyle="1" w:styleId="verd10bold">
    <w:name w:val="verd 10 bold"/>
    <w:basedOn w:val="Normal"/>
    <w:qFormat/>
    <w:rPr>
      <w:rFonts w:ascii="Verdana" w:hAnsi="Verdana" w:cs="Verdana"/>
      <w:b/>
      <w:sz w:val="20"/>
      <w:lang w:val="ro-RO"/>
    </w:rPr>
  </w:style>
  <w:style w:type="paragraph" w:customStyle="1" w:styleId="verdana">
    <w:name w:val="verdana"/>
    <w:basedOn w:val="Normal"/>
    <w:qFormat/>
    <w:pPr>
      <w:ind w:firstLine="720"/>
    </w:pPr>
    <w:rPr>
      <w:rFonts w:ascii="Verdana" w:hAnsi="Verdana" w:cs="Verdana"/>
      <w:sz w:val="20"/>
    </w:rPr>
  </w:style>
  <w:style w:type="paragraph" w:styleId="z-TopofForm">
    <w:name w:val="HTML Top of Form"/>
    <w:basedOn w:val="Normal"/>
    <w:next w:val="Normal"/>
    <w:qFormat/>
    <w:pPr>
      <w:pBdr>
        <w:bottom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styleId="z-BottomofForm">
    <w:name w:val="HTML Bottom of Form"/>
    <w:basedOn w:val="Normal"/>
    <w:next w:val="Normal"/>
    <w:qFormat/>
    <w:pPr>
      <w:pBdr>
        <w:top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customStyle="1" w:styleId="yiv6687053565msonormal">
    <w:name w:val="yiv6687053565msonormal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yiv6687053565">
    <w:name w:val="yiv6687053565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Cs w:val="24"/>
      <w:lang w:val="ro-RO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4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Decretul nr</dc:title>
  <dc:subject/>
  <dc:creator>1</dc:creator>
  <cp:keywords/>
  <dc:description/>
  <cp:lastModifiedBy>Georgiana</cp:lastModifiedBy>
  <cp:revision>545</cp:revision>
  <cp:lastPrinted>2024-12-10T11:09:00Z</cp:lastPrinted>
  <dcterms:created xsi:type="dcterms:W3CDTF">2013-08-26T09:01:00Z</dcterms:created>
  <dcterms:modified xsi:type="dcterms:W3CDTF">2026-05-08T11:43:00Z</dcterms:modified>
  <dc:language>en-US</dc:language>
</cp:coreProperties>
</file>