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AAAAAA"/>
          <w:bottom w:val="single" w:sz="4" w:space="1" w:color="AAAAAA"/>
        </w:pBdr>
        <w:shd w:val="clear" w:color="auto" w:fill="F2F2F2"/>
        <w:overflowPunct w:val="true"/>
        <w:spacing w:before="80" w:after="80"/>
        <w:jc w:val="left"/>
        <w:textAlignment w:val="auto"/>
        <w:rPr>
          <w:rFonts w:ascii="Verdana" w:hAnsi="Verdana" w:cs="Verdana"/>
          <w:i/>
          <w:iCs/>
          <w:color w:val="555555"/>
          <w:sz w:val="16"/>
          <w:szCs w:val="16"/>
        </w:rPr>
      </w:pPr>
      <w:r>
        <w:rPr>
          <w:rFonts w:ascii="Verdana" w:hAnsi="Verdana" w:cs="Verdana"/>
          <w:b/>
          <w:bCs/>
          <w:i/>
          <w:iCs/>
          <w:color w:val="333333"/>
          <w:sz w:val="16"/>
          <w:szCs w:val="16"/>
        </w:rPr>
        <w:t xml:space="preserve">Document orientativ verificat și curatoriat de Rezon Media Grup.</w:t>
      </w:r>
      <w:r>
        <w:rPr>
          <w:rFonts w:ascii="Verdana" w:hAnsi="Verdana" w:cs="Verdana"/>
          <w:i/>
          <w:iCs/>
          <w:color w:val="555555"/>
          <w:sz w:val="16"/>
          <w:szCs w:val="16"/>
        </w:rPr>
        <w:t xml:space="preserve"> Acest model de document are caracter informativ și trebuie adaptat, completat și personalizat de către companie sau departamentul responsabil, în conformitate cu specificul activității și cerințele legale în vigoare. Rezon Media Grup nu își asumă răspunderea pentru utilizarea documentului fără adaptarea corespunzătoare.</w:t>
      </w:r>
    </w:p>
    <w:p>
      <w:pPr>
        <w:pStyle w:val="Normal"/>
        <w:bidi w:val="0"/>
        <w:spacing w:lineRule="auto" w:line="240" w:before="0" w:after="0"/>
        <w:ind w:end="0"/>
        <w:jc w:val="both"/>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Heading2"/>
        <w:bidi w:val="0"/>
        <w:spacing w:lineRule="auto" w:line="240" w:before="0" w:after="0"/>
        <w:ind w:hanging="0" w:start="0" w:end="0"/>
        <w:jc w:val="start"/>
        <w:rPr/>
      </w:pPr>
      <w:r>
        <w:rPr>
          <w:rFonts w:cs="Times New Roman" w:ascii="Times New Roman" w:hAnsi="Times New Roman"/>
          <w:b w:val="false"/>
          <w:color w:val="000000"/>
          <w:sz w:val="24"/>
          <w:szCs w:val="24"/>
        </w:rPr>
        <w:t>S.C. ___________________________________ S.R.L./S.A.</w:t>
        <w:br/>
        <w:t>Str. _________________, nr. ___, Jud. ____________</w:t>
        <w:br/>
        <w:t>CUI – ________________</w:t>
        <w:br/>
        <w:t>Nr. ___/ ______________</w:t>
      </w:r>
    </w:p>
    <w:p>
      <w:pPr>
        <w:pStyle w:val="Heading2"/>
        <w:bidi w:val="0"/>
        <w:spacing w:lineRule="auto" w:line="240" w:before="0" w:after="0"/>
        <w:ind w:hanging="0" w:start="0" w:end="0"/>
        <w:jc w:val="center"/>
        <w:rPr/>
      </w:pPr>
      <w:r>
        <w:rPr>
          <w:rFonts w:cs="Times New Roman" w:ascii="Times New Roman" w:hAnsi="Times New Roman"/>
          <w:b w:val="false"/>
          <w:color w:val="000000"/>
          <w:sz w:val="24"/>
          <w:szCs w:val="24"/>
        </w:rPr>
        <w:br/>
        <w:t>se aprobă,</w:t>
        <w:br/>
      </w:r>
      <w:r>
        <w:rPr>
          <w:rFonts w:cs="Times New Roman" w:ascii="Times New Roman" w:hAnsi="Times New Roman"/>
          <w:color w:val="000000"/>
          <w:sz w:val="24"/>
          <w:szCs w:val="24"/>
          <w:u w:val="single"/>
        </w:rPr>
        <w:t>DECIZIE INTERNĂ NR. ……./2019 – CU PRIVIRE LA NUMEROTAREA FORMULARELOR FINANCIAR CONTABILE</w:t>
      </w:r>
    </w:p>
    <w:p>
      <w:pPr>
        <w:pStyle w:val="BodyText"/>
        <w:bidi w:val="0"/>
        <w:spacing w:lineRule="auto" w:line="240" w:before="0" w:after="0"/>
        <w:ind w:end="0"/>
        <w:jc w:val="start"/>
        <w:rPr>
          <w:color w:val="000000"/>
        </w:rPr>
      </w:pPr>
      <w:r>
        <w:rPr>
          <w:color w:val="000000"/>
        </w:rPr>
      </w:r>
    </w:p>
    <w:p>
      <w:pPr>
        <w:pStyle w:val="Heading2"/>
        <w:bidi w:val="0"/>
        <w:spacing w:lineRule="auto" w:line="240" w:before="0" w:after="0"/>
        <w:ind w:hanging="0" w:start="0" w:end="0"/>
        <w:jc w:val="both"/>
        <w:rPr/>
      </w:pPr>
      <w:r>
        <w:rPr>
          <w:rFonts w:cs="Times New Roman" w:ascii="Times New Roman" w:hAnsi="Times New Roman"/>
          <w:b w:val="false"/>
          <w:color w:val="000000"/>
          <w:sz w:val="24"/>
          <w:szCs w:val="24"/>
        </w:rPr>
        <w:br/>
        <w:t>Subsemnatul _________________________ în calitate de Administrator/Contabil la S.C. ______________________ S.R.L./S.A. prin prezenta hotărăsc:</w:t>
      </w:r>
    </w:p>
    <w:p>
      <w:pPr>
        <w:pStyle w:val="Heading2"/>
        <w:bidi w:val="0"/>
        <w:spacing w:lineRule="auto" w:line="240" w:before="0" w:after="0"/>
        <w:ind w:hanging="0" w:start="0" w:end="0"/>
        <w:jc w:val="star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Heading2"/>
        <w:bidi w:val="0"/>
        <w:spacing w:lineRule="auto" w:line="240" w:before="0" w:after="0"/>
        <w:ind w:hanging="0" w:start="0" w:end="0"/>
        <w:jc w:val="both"/>
        <w:rPr/>
      </w:pPr>
      <w:r>
        <w:rPr>
          <w:rFonts w:cs="Times New Roman" w:ascii="Times New Roman" w:hAnsi="Times New Roman"/>
          <w:b w:val="false"/>
          <w:color w:val="000000"/>
          <w:sz w:val="24"/>
          <w:szCs w:val="24"/>
        </w:rPr>
        <w:t xml:space="preserve">Administrator/Angajat ____________________________ în calitate de Administrator/Economist/Contabil la firma S.C. ____________________ S.R.L./S.A., alocă şi gestionează seriile şi numerele aferente facturilor, avizelor de însoţire a mărfii, precum şi a chitanţierelor. </w:t>
      </w:r>
    </w:p>
    <w:p>
      <w:pPr>
        <w:pStyle w:val="Heading2"/>
        <w:bidi w:val="0"/>
        <w:spacing w:lineRule="auto" w:line="240" w:before="0" w:after="0"/>
        <w:ind w:hanging="0" w:start="0" w:end="0"/>
        <w:jc w:val="star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Heading2"/>
        <w:bidi w:val="0"/>
        <w:spacing w:lineRule="auto" w:line="240" w:before="0" w:after="0"/>
        <w:ind w:hanging="0" w:start="0" w:end="0"/>
        <w:jc w:val="start"/>
        <w:rPr/>
      </w:pPr>
      <w:r>
        <w:rPr>
          <w:rFonts w:cs="Times New Roman" w:ascii="Times New Roman" w:hAnsi="Times New Roman"/>
          <w:b w:val="false"/>
          <w:i/>
          <w:color w:val="000000"/>
          <w:sz w:val="24"/>
          <w:szCs w:val="24"/>
          <w:u w:val="single"/>
        </w:rPr>
        <w:t>ÎN CONFORMITATE CU:</w:t>
      </w:r>
      <w:r>
        <w:rPr>
          <w:rFonts w:cs="Times New Roman" w:ascii="Times New Roman" w:hAnsi="Times New Roman"/>
          <w:b w:val="false"/>
          <w:color w:val="000000"/>
          <w:sz w:val="24"/>
          <w:szCs w:val="24"/>
        </w:rPr>
        <w:br/>
        <w:t xml:space="preserve">- </w:t>
      </w:r>
      <w:hyperlink r:id="rId2">
        <w:r>
          <w:rPr>
            <w:rStyle w:val="Hyperlink"/>
            <w:rFonts w:cs="Times New Roman" w:ascii="Times New Roman" w:hAnsi="Times New Roman"/>
            <w:b w:val="false"/>
            <w:color w:val="000000"/>
            <w:sz w:val="24"/>
            <w:szCs w:val="24"/>
            <w:u w:val="none"/>
          </w:rPr>
          <w:t>OMFP 2634/2015</w:t>
        </w:r>
      </w:hyperlink>
      <w:r>
        <w:rPr>
          <w:rFonts w:cs="Times New Roman" w:ascii="Times New Roman" w:hAnsi="Times New Roman"/>
          <w:b w:val="false"/>
          <w:color w:val="000000"/>
          <w:sz w:val="24"/>
          <w:szCs w:val="24"/>
        </w:rPr>
        <w:t xml:space="preserve"> privind documentele financiar-contabile (aplicare din 01.01.2016 – MO 910/2015),</w:t>
      </w:r>
    </w:p>
    <w:p>
      <w:pPr>
        <w:pStyle w:val="Heading2"/>
        <w:numPr>
          <w:ilvl w:val="0"/>
          <w:numId w:val="1"/>
        </w:numPr>
        <w:bidi w:val="0"/>
        <w:spacing w:lineRule="auto" w:line="240" w:before="0" w:after="0"/>
        <w:ind w:hanging="0" w:start="0" w:end="0"/>
        <w:jc w:val="both"/>
        <w:rPr/>
      </w:pPr>
      <w:r>
        <w:rPr>
          <w:rFonts w:cs="Times New Roman" w:ascii="Times New Roman" w:hAnsi="Times New Roman"/>
          <w:b w:val="false"/>
          <w:color w:val="000000"/>
          <w:sz w:val="24"/>
          <w:szCs w:val="24"/>
        </w:rPr>
        <w:t>- Legea 227/2015 privind Codul Fiscal, cu modificările şi completările ulterioare, denumită în continuare Codul Fiscal,</w:t>
      </w:r>
    </w:p>
    <w:p>
      <w:pPr>
        <w:pStyle w:val="Heading2"/>
        <w:numPr>
          <w:ilvl w:val="0"/>
          <w:numId w:val="0"/>
        </w:numPr>
        <w:bidi w:val="0"/>
        <w:spacing w:lineRule="auto" w:line="240" w:before="0" w:after="0"/>
        <w:ind w:hanging="0" w:start="720" w:end="0"/>
        <w:jc w:val="both"/>
        <w:rPr>
          <w:rFonts w:ascii="Times New Roman" w:hAnsi="Times New Roman" w:cs="Times New Roman"/>
          <w:b w:val="false"/>
          <w:color w:val="000000"/>
          <w:sz w:val="24"/>
          <w:szCs w:val="24"/>
        </w:rPr>
      </w:pPr>
      <w:r>
        <w:rPr>
          <w:rFonts w:cs="Times New Roman" w:ascii="Times New Roman" w:hAnsi="Times New Roman"/>
          <w:b w:val="false"/>
          <w:color w:val="000000"/>
          <w:sz w:val="24"/>
          <w:szCs w:val="24"/>
        </w:rPr>
        <w:t>- OMF nr. 2217/2006 privind organizarea evidenţei în scopul taxei pe valoarea adăugată, conform Codului Fiscal, cu modificările şi completările ulterioare,</w:t>
      </w:r>
    </w:p>
    <w:p>
      <w:pPr>
        <w:pStyle w:val="Heading2"/>
        <w:numPr>
          <w:ilvl w:val="0"/>
          <w:numId w:val="0"/>
        </w:numPr>
        <w:bidi w:val="0"/>
        <w:spacing w:lineRule="auto" w:line="240" w:before="0" w:after="0"/>
        <w:ind w:hanging="0" w:start="720" w:end="0"/>
        <w:jc w:val="both"/>
        <w:rPr/>
      </w:pPr>
      <w:r>
        <w:rPr>
          <w:rFonts w:cs="Times New Roman" w:ascii="Times New Roman" w:hAnsi="Times New Roman"/>
          <w:b w:val="false"/>
          <w:color w:val="000000"/>
          <w:sz w:val="24"/>
          <w:szCs w:val="24"/>
        </w:rPr>
        <w:t xml:space="preserve">- Ordin </w:t>
      </w:r>
      <w:r>
        <w:rPr>
          <w:rStyle w:val="Strong"/>
          <w:rFonts w:cs="Times New Roman" w:ascii="Times New Roman" w:hAnsi="Times New Roman"/>
          <w:b/>
          <w:bCs/>
          <w:color w:val="000000"/>
          <w:sz w:val="24"/>
          <w:szCs w:val="24"/>
          <w:lang w:val="pt-BR"/>
        </w:rPr>
        <w:t xml:space="preserve">3420/21.12.2009 </w:t>
      </w:r>
      <w:r>
        <w:rPr>
          <w:rFonts w:cs="Times New Roman" w:ascii="Times New Roman" w:hAnsi="Times New Roman"/>
          <w:b w:val="false"/>
          <w:color w:val="000000"/>
          <w:sz w:val="24"/>
          <w:szCs w:val="24"/>
        </w:rPr>
        <w:t>pentru modificarea şi completarea unor ordine ale ministrului finanţelor publice,</w:t>
      </w:r>
    </w:p>
    <w:p>
      <w:pPr>
        <w:pStyle w:val="Heading2"/>
        <w:numPr>
          <w:ilvl w:val="0"/>
          <w:numId w:val="0"/>
        </w:numPr>
        <w:bidi w:val="0"/>
        <w:spacing w:lineRule="auto" w:line="240" w:before="0" w:after="0"/>
        <w:ind w:hanging="0" w:start="720" w:end="0"/>
        <w:jc w:val="both"/>
        <w:rPr>
          <w:rFonts w:ascii="Times New Roman" w:hAnsi="Times New Roman" w:cs="Times New Roman"/>
          <w:b w:val="false"/>
          <w:color w:val="000000"/>
          <w:sz w:val="24"/>
          <w:szCs w:val="24"/>
        </w:rPr>
      </w:pPr>
      <w:r>
        <w:rPr>
          <w:rFonts w:cs="Times New Roman" w:ascii="Times New Roman" w:hAnsi="Times New Roman"/>
          <w:b w:val="false"/>
          <w:color w:val="000000"/>
          <w:sz w:val="24"/>
          <w:szCs w:val="24"/>
        </w:rPr>
        <w:t>- OMFP 1802/2014 (cu modificarea OMFP 1198/2017),</w:t>
      </w:r>
    </w:p>
    <w:p>
      <w:pPr>
        <w:pStyle w:val="Normal"/>
        <w:bidi w:val="0"/>
        <w:spacing w:lineRule="auto" w:line="240" w:before="0" w:after="0"/>
        <w:ind w:end="0"/>
        <w:jc w:val="both"/>
        <w:rPr/>
      </w:pPr>
      <w:r>
        <w:rPr>
          <w:rFonts w:cs="Times New Roman" w:ascii="Times New Roman" w:hAnsi="Times New Roman"/>
          <w:i/>
          <w:color w:val="000000"/>
          <w:sz w:val="24"/>
          <w:szCs w:val="24"/>
        </w:rPr>
        <w:t xml:space="preserve">- </w:t>
      </w:r>
      <w:r>
        <w:rPr>
          <w:rFonts w:cs="Times New Roman" w:ascii="Times New Roman" w:hAnsi="Times New Roman"/>
          <w:i w:val="false"/>
          <w:iCs w:val="false"/>
          <w:color w:val="000000"/>
          <w:sz w:val="24"/>
          <w:szCs w:val="24"/>
        </w:rPr>
        <w:t>Alte acte normative incidente</w:t>
      </w:r>
    </w:p>
    <w:p>
      <w:pPr>
        <w:pStyle w:val="Normal"/>
        <w:bidi w:val="0"/>
        <w:spacing w:lineRule="auto" w:line="240" w:before="0" w:after="0"/>
        <w:ind w:end="0"/>
        <w:jc w:val="start"/>
        <w:rPr/>
      </w:pPr>
      <w:r>
        <w:rPr>
          <w:rFonts w:cs="Times New Roman" w:ascii="Times New Roman" w:hAnsi="Times New Roman"/>
          <w:color w:val="000000"/>
          <w:sz w:val="24"/>
          <w:szCs w:val="24"/>
        </w:rPr>
        <w:br/>
        <w:t>societatea emite:</w:t>
        <w:br/>
        <w:t>1. Facturi,</w:t>
        <w:br/>
        <w:t>2. Avize de însoţire a mărfii,</w:t>
        <w:br/>
        <w:t>3. Chitanţiere,</w:t>
        <w:br/>
        <w:t>4. Facturi proforme,</w:t>
        <w:br/>
        <w:br/>
        <w:t xml:space="preserve">precum urmează, în anul 2019 – </w:t>
      </w:r>
      <w:r>
        <w:rPr>
          <w:rFonts w:cs="Times New Roman" w:ascii="Times New Roman" w:hAnsi="Times New Roman"/>
          <w:color w:val="000000"/>
          <w:sz w:val="24"/>
          <w:szCs w:val="24"/>
          <w:u w:val="single"/>
        </w:rPr>
        <w:t>documentele financiar contabile vor avea o singură serie şi numărul de ordine alocat pentru fiecare serie</w:t>
      </w:r>
      <w:r>
        <w:rPr>
          <w:rFonts w:cs="Times New Roman" w:ascii="Times New Roman" w:hAnsi="Times New Roman"/>
          <w:color w:val="000000"/>
          <w:sz w:val="24"/>
          <w:szCs w:val="24"/>
        </w:rPr>
        <w:t>, astfel:</w:t>
      </w:r>
    </w:p>
    <w:p>
      <w:pPr>
        <w:pStyle w:val="Normal"/>
        <w:bidi w:val="0"/>
        <w:spacing w:lineRule="auto" w:line="240" w:before="0" w:after="0"/>
        <w:ind w:end="0"/>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668" w:type="dxa"/>
        <w:jc w:val="start"/>
        <w:tblInd w:w="108" w:type="dxa"/>
        <w:tblLayout w:type="fixed"/>
        <w:tblCellMar>
          <w:top w:w="0" w:type="dxa"/>
          <w:start w:w="108" w:type="dxa"/>
          <w:bottom w:w="0" w:type="dxa"/>
          <w:end w:w="108" w:type="dxa"/>
        </w:tblCellMar>
      </w:tblPr>
      <w:tblGrid>
        <w:gridCol w:w="1186"/>
        <w:gridCol w:w="3240"/>
        <w:gridCol w:w="2212"/>
        <w:gridCol w:w="1564"/>
        <w:gridCol w:w="1466"/>
      </w:tblGrid>
      <w:tr>
        <w:trPr>
          <w:trHeight w:val="165" w:hRule="atLeast"/>
          <w:cantSplit w:val="true"/>
        </w:trPr>
        <w:tc>
          <w:tcPr>
            <w:tcW w:w="1186" w:type="dxa"/>
            <w:vMerge w:val="restart"/>
            <w:tcBorders>
              <w:top w:val="single" w:sz="4" w:space="0" w:color="000000"/>
              <w:start w:val="single" w:sz="4" w:space="0" w:color="000000"/>
              <w:bottom w:val="single" w:sz="4" w:space="0" w:color="000000"/>
            </w:tcBorders>
            <w:shd w:fill="D9D9D9" w:val="clear"/>
          </w:tcPr>
          <w:p>
            <w:pPr>
              <w:pStyle w:val="Normal"/>
              <w:bidi w:val="0"/>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Nr.crt</w:t>
            </w:r>
          </w:p>
        </w:tc>
        <w:tc>
          <w:tcPr>
            <w:tcW w:w="3240" w:type="dxa"/>
            <w:vMerge w:val="restart"/>
            <w:tcBorders>
              <w:top w:val="single" w:sz="4" w:space="0" w:color="000000"/>
              <w:start w:val="single" w:sz="4" w:space="0" w:color="000000"/>
              <w:bottom w:val="single" w:sz="4" w:space="0" w:color="000000"/>
            </w:tcBorders>
            <w:shd w:fill="D9D9D9" w:val="clear"/>
          </w:tcPr>
          <w:p>
            <w:pPr>
              <w:pStyle w:val="Normal"/>
              <w:bidi w:val="0"/>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Tip document:</w:t>
            </w:r>
          </w:p>
        </w:tc>
        <w:tc>
          <w:tcPr>
            <w:tcW w:w="2212" w:type="dxa"/>
            <w:vMerge w:val="restart"/>
            <w:tcBorders>
              <w:top w:val="single" w:sz="4" w:space="0" w:color="000000"/>
              <w:start w:val="single" w:sz="4" w:space="0" w:color="000000"/>
              <w:bottom w:val="single" w:sz="4" w:space="0" w:color="000000"/>
            </w:tcBorders>
            <w:shd w:fill="D9D9D9" w:val="clear"/>
          </w:tcPr>
          <w:p>
            <w:pPr>
              <w:pStyle w:val="Normal"/>
              <w:bidi w:val="0"/>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Seria:</w:t>
            </w:r>
          </w:p>
        </w:tc>
        <w:tc>
          <w:tcPr>
            <w:tcW w:w="3030" w:type="dxa"/>
            <w:gridSpan w:val="2"/>
            <w:tcBorders>
              <w:top w:val="single" w:sz="4" w:space="0" w:color="000000"/>
              <w:start w:val="single" w:sz="4" w:space="0" w:color="000000"/>
              <w:bottom w:val="single" w:sz="4" w:space="0" w:color="000000"/>
              <w:end w:val="single" w:sz="4" w:space="0" w:color="000000"/>
            </w:tcBorders>
            <w:shd w:fill="D9D9D9" w:val="clear"/>
          </w:tcPr>
          <w:p>
            <w:pPr>
              <w:pStyle w:val="Normal"/>
              <w:bidi w:val="0"/>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Numerele:</w:t>
            </w:r>
          </w:p>
        </w:tc>
      </w:tr>
      <w:tr>
        <w:trPr>
          <w:trHeight w:val="165" w:hRule="atLeast"/>
          <w:cantSplit w:val="true"/>
        </w:trPr>
        <w:tc>
          <w:tcPr>
            <w:tcW w:w="1186" w:type="dxa"/>
            <w:vMerge w:val="continue"/>
            <w:tcBorders>
              <w:top w:val="single" w:sz="4" w:space="0" w:color="000000"/>
              <w:start w:val="single" w:sz="4" w:space="0" w:color="000000"/>
              <w:bottom w:val="single" w:sz="4" w:space="0" w:color="000000"/>
            </w:tcBorders>
            <w:shd w:fill="D9D9D9" w:val="clear"/>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3240" w:type="dxa"/>
            <w:vMerge w:val="continue"/>
            <w:tcBorders>
              <w:top w:val="single" w:sz="4" w:space="0" w:color="000000"/>
              <w:start w:val="single" w:sz="4" w:space="0" w:color="000000"/>
              <w:bottom w:val="single" w:sz="4" w:space="0" w:color="000000"/>
            </w:tcBorders>
            <w:shd w:fill="D9D9D9" w:val="clear"/>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2212" w:type="dxa"/>
            <w:vMerge w:val="continue"/>
            <w:tcBorders>
              <w:top w:val="single" w:sz="4" w:space="0" w:color="000000"/>
              <w:start w:val="single" w:sz="4" w:space="0" w:color="000000"/>
              <w:bottom w:val="single" w:sz="4" w:space="0" w:color="000000"/>
            </w:tcBorders>
            <w:shd w:fill="D9D9D9" w:val="clear"/>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1564" w:type="dxa"/>
            <w:tcBorders>
              <w:top w:val="single" w:sz="4" w:space="0" w:color="000000"/>
              <w:start w:val="single" w:sz="4" w:space="0" w:color="000000"/>
              <w:bottom w:val="single" w:sz="4" w:space="0" w:color="000000"/>
            </w:tcBorders>
            <w:shd w:fill="D9D9D9" w:val="clear"/>
          </w:tcPr>
          <w:p>
            <w:pPr>
              <w:pStyle w:val="Normal"/>
              <w:bidi w:val="0"/>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De la :</w:t>
            </w:r>
          </w:p>
        </w:tc>
        <w:tc>
          <w:tcPr>
            <w:tcW w:w="1466" w:type="dxa"/>
            <w:tcBorders>
              <w:top w:val="single" w:sz="4" w:space="0" w:color="000000"/>
              <w:start w:val="single" w:sz="4" w:space="0" w:color="000000"/>
              <w:bottom w:val="single" w:sz="4" w:space="0" w:color="000000"/>
              <w:end w:val="single" w:sz="4" w:space="0" w:color="000000"/>
            </w:tcBorders>
            <w:shd w:fill="D9D9D9" w:val="clear"/>
          </w:tcPr>
          <w:p>
            <w:pPr>
              <w:pStyle w:val="Normal"/>
              <w:bidi w:val="0"/>
              <w:spacing w:lineRule="auto" w:line="240" w:before="0" w:after="0"/>
              <w:ind w:end="0"/>
              <w:jc w:val="both"/>
              <w:rPr/>
            </w:pPr>
            <w:r>
              <w:rPr>
                <w:rFonts w:cs="Times New Roman" w:ascii="Times New Roman" w:hAnsi="Times New Roman"/>
                <w:b/>
                <w:bCs/>
                <w:color w:val="000000"/>
                <w:sz w:val="24"/>
                <w:szCs w:val="24"/>
              </w:rPr>
              <w:t>Observaţii:</w:t>
            </w:r>
          </w:p>
        </w:tc>
      </w:tr>
      <w:tr>
        <w:trPr/>
        <w:tc>
          <w:tcPr>
            <w:tcW w:w="1186" w:type="dxa"/>
            <w:tcBorders>
              <w:top w:val="single" w:sz="4" w:space="0" w:color="000000"/>
              <w:start w:val="single" w:sz="4" w:space="0" w:color="000000"/>
              <w:bottom w:val="single" w:sz="4" w:space="0" w:color="000000"/>
            </w:tcBorders>
          </w:tcPr>
          <w:p>
            <w:pPr>
              <w:pStyle w:val="Normal"/>
              <w:widowControl/>
              <w:bidi w:val="0"/>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1.</w:t>
            </w:r>
          </w:p>
        </w:tc>
        <w:tc>
          <w:tcPr>
            <w:tcW w:w="3240" w:type="dxa"/>
            <w:tcBorders>
              <w:top w:val="single" w:sz="4" w:space="0" w:color="000000"/>
              <w:start w:val="single" w:sz="4" w:space="0" w:color="000000"/>
              <w:bottom w:val="single" w:sz="4" w:space="0" w:color="000000"/>
            </w:tcBorders>
          </w:tcPr>
          <w:p>
            <w:pPr>
              <w:pStyle w:val="Normal"/>
              <w:widowControl/>
              <w:bidi w:val="0"/>
              <w:spacing w:lineRule="auto" w:line="240" w:before="0" w:after="0"/>
              <w:ind w:end="0"/>
              <w:jc w:val="both"/>
              <w:rPr>
                <w:rFonts w:ascii="Times New Roman" w:hAnsi="Times New Roman" w:cs="Times New Roman"/>
                <w:color w:val="000000"/>
                <w:sz w:val="24"/>
                <w:szCs w:val="24"/>
              </w:rPr>
            </w:pPr>
            <w:r>
              <w:rPr>
                <w:rFonts w:cs="Times New Roman" w:ascii="Times New Roman" w:hAnsi="Times New Roman"/>
                <w:color w:val="000000"/>
                <w:sz w:val="24"/>
                <w:szCs w:val="24"/>
              </w:rPr>
              <w:t>Facturile</w:t>
            </w:r>
          </w:p>
        </w:tc>
        <w:tc>
          <w:tcPr>
            <w:tcW w:w="2212" w:type="dxa"/>
            <w:tcBorders>
              <w:top w:val="single" w:sz="4" w:space="0" w:color="000000"/>
              <w:start w:val="single" w:sz="4" w:space="0" w:color="000000"/>
              <w:bottom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1564" w:type="dxa"/>
            <w:tcBorders>
              <w:top w:val="single" w:sz="4" w:space="0" w:color="000000"/>
              <w:start w:val="single" w:sz="4" w:space="0" w:color="000000"/>
              <w:bottom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1466"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r>
      <w:tr>
        <w:trPr/>
        <w:tc>
          <w:tcPr>
            <w:tcW w:w="1186" w:type="dxa"/>
            <w:tcBorders>
              <w:top w:val="single" w:sz="4" w:space="0" w:color="000000"/>
              <w:start w:val="single" w:sz="4" w:space="0" w:color="000000"/>
              <w:bottom w:val="single" w:sz="4" w:space="0" w:color="000000"/>
            </w:tcBorders>
          </w:tcPr>
          <w:p>
            <w:pPr>
              <w:pStyle w:val="Normal"/>
              <w:widowControl/>
              <w:bidi w:val="0"/>
              <w:spacing w:lineRule="auto" w:line="240" w:before="0" w:after="0"/>
              <w:ind w:end="0"/>
              <w:jc w:val="both"/>
              <w:rPr/>
            </w:pPr>
            <w:r>
              <w:rPr>
                <w:rFonts w:cs="Times New Roman" w:ascii="Times New Roman" w:hAnsi="Times New Roman"/>
                <w:b/>
                <w:bCs/>
                <w:color w:val="000000"/>
                <w:sz w:val="24"/>
                <w:szCs w:val="24"/>
              </w:rPr>
              <w:t>2.</w:t>
            </w:r>
          </w:p>
        </w:tc>
        <w:tc>
          <w:tcPr>
            <w:tcW w:w="3240" w:type="dxa"/>
            <w:tcBorders>
              <w:top w:val="single" w:sz="4" w:space="0" w:color="000000"/>
              <w:start w:val="single" w:sz="4" w:space="0" w:color="000000"/>
              <w:bottom w:val="single" w:sz="4" w:space="0" w:color="000000"/>
            </w:tcBorders>
          </w:tcPr>
          <w:p>
            <w:pPr>
              <w:pStyle w:val="Normal"/>
              <w:widowControl/>
              <w:bidi w:val="0"/>
              <w:spacing w:lineRule="auto" w:line="240" w:before="0" w:after="0"/>
              <w:ind w:end="0"/>
              <w:jc w:val="both"/>
              <w:rPr/>
            </w:pPr>
            <w:r>
              <w:rPr>
                <w:rFonts w:cs="Times New Roman" w:ascii="Times New Roman" w:hAnsi="Times New Roman"/>
                <w:color w:val="000000"/>
                <w:sz w:val="24"/>
                <w:szCs w:val="24"/>
              </w:rPr>
              <w:t>Avizele de însoţire a mărfii</w:t>
            </w:r>
          </w:p>
        </w:tc>
        <w:tc>
          <w:tcPr>
            <w:tcW w:w="2212" w:type="dxa"/>
            <w:tcBorders>
              <w:top w:val="single" w:sz="4" w:space="0" w:color="000000"/>
              <w:start w:val="single" w:sz="4" w:space="0" w:color="000000"/>
              <w:bottom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1564" w:type="dxa"/>
            <w:tcBorders>
              <w:top w:val="single" w:sz="4" w:space="0" w:color="000000"/>
              <w:start w:val="single" w:sz="4" w:space="0" w:color="000000"/>
              <w:bottom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1466"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r>
      <w:tr>
        <w:trPr/>
        <w:tc>
          <w:tcPr>
            <w:tcW w:w="1186" w:type="dxa"/>
            <w:tcBorders>
              <w:top w:val="single" w:sz="4" w:space="0" w:color="000000"/>
              <w:start w:val="single" w:sz="4" w:space="0" w:color="000000"/>
              <w:bottom w:val="single" w:sz="4" w:space="0" w:color="000000"/>
            </w:tcBorders>
          </w:tcPr>
          <w:p>
            <w:pPr>
              <w:pStyle w:val="Normal"/>
              <w:widowControl/>
              <w:bidi w:val="0"/>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3.</w:t>
            </w:r>
          </w:p>
        </w:tc>
        <w:tc>
          <w:tcPr>
            <w:tcW w:w="3240" w:type="dxa"/>
            <w:tcBorders>
              <w:top w:val="single" w:sz="4" w:space="0" w:color="000000"/>
              <w:start w:val="single" w:sz="4" w:space="0" w:color="000000"/>
              <w:bottom w:val="single" w:sz="4" w:space="0" w:color="000000"/>
            </w:tcBorders>
          </w:tcPr>
          <w:p>
            <w:pPr>
              <w:pStyle w:val="Normal"/>
              <w:widowControl/>
              <w:bidi w:val="0"/>
              <w:spacing w:lineRule="auto" w:line="240" w:before="0" w:after="0"/>
              <w:ind w:end="0"/>
              <w:jc w:val="both"/>
              <w:rPr>
                <w:rFonts w:ascii="Times New Roman" w:hAnsi="Times New Roman" w:cs="Times New Roman"/>
                <w:color w:val="000000"/>
                <w:sz w:val="24"/>
                <w:szCs w:val="24"/>
              </w:rPr>
            </w:pPr>
            <w:r>
              <w:rPr>
                <w:rFonts w:cs="Times New Roman" w:ascii="Times New Roman" w:hAnsi="Times New Roman"/>
                <w:color w:val="000000"/>
                <w:sz w:val="24"/>
                <w:szCs w:val="24"/>
              </w:rPr>
              <w:t>Chitanţierele</w:t>
            </w:r>
          </w:p>
        </w:tc>
        <w:tc>
          <w:tcPr>
            <w:tcW w:w="2212" w:type="dxa"/>
            <w:tcBorders>
              <w:top w:val="single" w:sz="4" w:space="0" w:color="000000"/>
              <w:start w:val="single" w:sz="4" w:space="0" w:color="000000"/>
              <w:bottom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1564" w:type="dxa"/>
            <w:tcBorders>
              <w:top w:val="single" w:sz="4" w:space="0" w:color="000000"/>
              <w:start w:val="single" w:sz="4" w:space="0" w:color="000000"/>
              <w:bottom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1466"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r>
      <w:tr>
        <w:trPr/>
        <w:tc>
          <w:tcPr>
            <w:tcW w:w="1186" w:type="dxa"/>
            <w:tcBorders>
              <w:top w:val="single" w:sz="4" w:space="0" w:color="000000"/>
              <w:start w:val="single" w:sz="4" w:space="0" w:color="000000"/>
              <w:bottom w:val="single" w:sz="4" w:space="0" w:color="000000"/>
            </w:tcBorders>
          </w:tcPr>
          <w:p>
            <w:pPr>
              <w:pStyle w:val="Normal"/>
              <w:widowControl/>
              <w:bidi w:val="0"/>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4.</w:t>
            </w:r>
          </w:p>
        </w:tc>
        <w:tc>
          <w:tcPr>
            <w:tcW w:w="3240" w:type="dxa"/>
            <w:tcBorders>
              <w:top w:val="single" w:sz="4" w:space="0" w:color="000000"/>
              <w:start w:val="single" w:sz="4" w:space="0" w:color="000000"/>
              <w:bottom w:val="single" w:sz="4" w:space="0" w:color="000000"/>
            </w:tcBorders>
          </w:tcPr>
          <w:p>
            <w:pPr>
              <w:pStyle w:val="Normal"/>
              <w:widowControl/>
              <w:bidi w:val="0"/>
              <w:spacing w:lineRule="auto" w:line="240" w:before="0" w:after="0"/>
              <w:ind w:end="0"/>
              <w:jc w:val="both"/>
              <w:rPr>
                <w:rFonts w:ascii="Times New Roman" w:hAnsi="Times New Roman" w:cs="Times New Roman"/>
                <w:color w:val="000000"/>
                <w:sz w:val="24"/>
                <w:szCs w:val="24"/>
              </w:rPr>
            </w:pPr>
            <w:r>
              <w:rPr>
                <w:rFonts w:cs="Times New Roman" w:ascii="Times New Roman" w:hAnsi="Times New Roman"/>
                <w:color w:val="000000"/>
                <w:sz w:val="24"/>
                <w:szCs w:val="24"/>
              </w:rPr>
              <w:t>Facturile proforme</w:t>
            </w:r>
          </w:p>
        </w:tc>
        <w:tc>
          <w:tcPr>
            <w:tcW w:w="2212" w:type="dxa"/>
            <w:tcBorders>
              <w:top w:val="single" w:sz="4" w:space="0" w:color="000000"/>
              <w:start w:val="single" w:sz="4" w:space="0" w:color="000000"/>
              <w:bottom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1564" w:type="dxa"/>
            <w:tcBorders>
              <w:top w:val="single" w:sz="4" w:space="0" w:color="000000"/>
              <w:start w:val="single" w:sz="4" w:space="0" w:color="000000"/>
              <w:bottom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c>
          <w:tcPr>
            <w:tcW w:w="1466"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240" w:before="0" w:after="0"/>
              <w:ind w:end="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tc>
      </w:tr>
    </w:tbl>
    <w:p>
      <w:pPr>
        <w:pStyle w:val="Normal"/>
        <w:bidi w:val="0"/>
        <w:spacing w:lineRule="auto" w:line="240" w:before="0" w:after="0"/>
        <w:ind w:end="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bidi w:val="0"/>
        <w:spacing w:lineRule="auto" w:line="240" w:before="0" w:after="0"/>
        <w:ind w:end="0"/>
        <w:jc w:val="both"/>
        <w:rPr/>
      </w:pPr>
      <w:r>
        <w:rPr>
          <w:rFonts w:cs="Times New Roman" w:ascii="Times New Roman" w:hAnsi="Times New Roman"/>
          <w:color w:val="000000"/>
          <w:sz w:val="24"/>
          <w:szCs w:val="24"/>
        </w:rPr>
        <w:br/>
        <w:t>SEMNĂTURA</w:t>
        <w:br/>
        <w:t>_______________</w:t>
      </w:r>
    </w:p>
    <w:p>
      <w:pPr>
        <w:pStyle w:val="Normal"/>
        <w:bidi w:val="0"/>
        <w:spacing w:lineRule="auto" w:line="240" w:before="0" w:after="0"/>
        <w:ind w:end="0"/>
        <w:jc w:val="both"/>
        <w:rPr>
          <w:rFonts w:ascii="Times New Roman" w:hAnsi="Times New Roman" w:cs="Times New Roman"/>
          <w:b/>
          <w:color w:val="000000"/>
          <w:sz w:val="24"/>
          <w:szCs w:val="24"/>
        </w:rPr>
      </w:pPr>
      <w:r>
        <w:rPr>
          <w:rFonts w:cs="Times New Roman" w:ascii="Times New Roman" w:hAnsi="Times New Roman"/>
          <w:b/>
          <w:color w:val="000000"/>
          <w:sz w:val="24"/>
          <w:szCs w:val="24"/>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Liberation Sans">
    <w:altName w:val="Arial"/>
    <w:charset w:val="ee" w:characterSet="windows-1250"/>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Liberation Serif;Times New Roman" w:hAnsi="Liberation Serif;Times New Roman" w:eastAsia="NSimSun" w:cs="Arial"/>
      <w:color w:val="auto"/>
      <w:kern w:val="2"/>
      <w:sz w:val="24"/>
      <w:szCs w:val="24"/>
      <w:lang w:val="ro-RO" w:eastAsia="zh-CN" w:bidi="hi-IN"/>
    </w:rPr>
  </w:style>
  <w:style w:type="paragraph" w:styleId="Heading2">
    <w:name w:val="heading 2"/>
    <w:basedOn w:val="Normal"/>
    <w:next w:val="BodyText"/>
    <w:qFormat/>
    <w:pPr>
      <w:numPr>
        <w:ilvl w:val="1"/>
        <w:numId w:val="1"/>
      </w:numPr>
      <w:spacing w:lineRule="auto" w:line="240" w:before="280" w:after="280"/>
      <w:outlineLvl w:val="1"/>
    </w:pPr>
    <w:rPr>
      <w:rFonts w:ascii="Times New Roman" w:hAnsi="Times New Roman" w:eastAsia="Times New Roman" w:cs="Times New Roman"/>
      <w:b/>
      <w:bCs/>
      <w:sz w:val="36"/>
      <w:szCs w:val="36"/>
      <w:lang w:eastAsia="ro-RO"/>
    </w:rPr>
  </w:style>
  <w:style w:type="character" w:styleId="Hyperlink">
    <w:name w:val="Hyperlink"/>
    <w:rPr>
      <w:color w:val="0000FF"/>
      <w:u w:val="single"/>
    </w:rPr>
  </w:style>
  <w:style w:type="character" w:styleId="Strong">
    <w:name w:val="Strong"/>
    <w:qFormat/>
    <w:rPr>
      <w:rFonts w:cs="Times New Roman"/>
      <w:b/>
      <w:bCs/>
    </w:rPr>
  </w:style>
  <w:style w:type="paragraph" w:styleId="Heading">
    <w:name w:val="Heading"/>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abinetexpert.ro/2015-12-09/omfp-2634-2015-inclusiv-anexele-1-4-privind-documentele-financiar-contabile-aplicare-din-01-01-2016.htm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LibreOffice/26.2.2.2$Linux_X86_64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2026-03-09T13:11:27Z</dcterms:created>
  <dc:creator/>
  <dc:description/>
  <dc:language>en-US</dc:language>
  <cp:lastModifiedBy/>
  <dcterms:modified xsi:type="dcterms:W3CDTF">2026-03-09T13:11:54Z</dcterms:modified>
  <cp:revision>2</cp:revision>
  <dc:subject/>
  <dc:title/>
</cp:coreProperties>
</file>