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CB26" w14:textId="77777777" w:rsidR="007C350E" w:rsidRDefault="00E64944">
      <w:pPr>
        <w:pBdr>
          <w:top w:val="single" w:sz="4" w:space="1" w:color="AAAAAA"/>
          <w:bottom w:val="single" w:sz="4" w:space="1" w:color="AAAAAA"/>
        </w:pBdr>
        <w:shd w:val="clear" w:color="auto" w:fill="F2F2F2"/>
        <w:overflowPunct/>
        <w:spacing w:before="80" w:after="80"/>
        <w:textAlignment w:val="auto"/>
        <w:rPr>
          <w:rFonts w:ascii="Verdana" w:hAnsi="Verdana" w:cs="Verdana"/>
          <w:i/>
          <w:iCs/>
          <w:color w:val="555555"/>
          <w:sz w:val="16"/>
          <w:szCs w:val="16"/>
        </w:rPr>
      </w:pPr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Document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orientativ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verificat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și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curatoriat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Rezon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Grup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.</w:t>
      </w:r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Acest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model de document are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caracter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informativ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trebuie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completat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personalizat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către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companie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sau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departamentul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responsabil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conformitate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cu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specificul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activității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cerințele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legale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vigoare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.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Rezon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Grup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nu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asumă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răspunderea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pentru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utilizarea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documentului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fără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corespunzătoare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>.</w:t>
      </w:r>
    </w:p>
    <w:p w14:paraId="4C8D32AC" w14:textId="77777777" w:rsidR="00033F9F" w:rsidRPr="00033F9F" w:rsidRDefault="00033F9F" w:rsidP="00033F9F">
      <w:pPr>
        <w:pStyle w:val="Heading1"/>
        <w:jc w:val="center"/>
        <w:rPr>
          <w:rStyle w:val="Strong"/>
          <w:rFonts w:ascii="Times New Roman" w:hAnsi="Times New Roman" w:cs="Times New Roman"/>
          <w:bCs w:val="0"/>
        </w:rPr>
      </w:pPr>
    </w:p>
    <w:p w14:paraId="7BF0257A" w14:textId="5FDDCC7F" w:rsidR="007C350E" w:rsidRPr="00033F9F" w:rsidRDefault="00E64944" w:rsidP="00033F9F">
      <w:pPr>
        <w:pStyle w:val="Heading1"/>
        <w:jc w:val="center"/>
        <w:rPr>
          <w:rFonts w:ascii="Times New Roman" w:hAnsi="Times New Roman" w:cs="Times New Roman"/>
          <w:b w:val="0"/>
        </w:rPr>
      </w:pPr>
      <w:r w:rsidRPr="00033F9F">
        <w:rPr>
          <w:rStyle w:val="Strong"/>
          <w:rFonts w:ascii="Times New Roman" w:hAnsi="Times New Roman" w:cs="Times New Roman"/>
          <w:b/>
        </w:rPr>
        <w:t xml:space="preserve">MATRICE DE RISC FISCAL </w:t>
      </w:r>
    </w:p>
    <w:p w14:paraId="4E48DB32" w14:textId="77777777" w:rsidR="007C350E" w:rsidRDefault="007C350E">
      <w:pPr>
        <w:pStyle w:val="Heading2"/>
        <w:rPr>
          <w:rStyle w:val="Strong"/>
          <w:bCs w:val="0"/>
        </w:rPr>
      </w:pPr>
    </w:p>
    <w:p w14:paraId="5C0DE055" w14:textId="77777777" w:rsidR="007C350E" w:rsidRPr="00033F9F" w:rsidRDefault="00E64944">
      <w:pPr>
        <w:pStyle w:val="Heading2"/>
        <w:rPr>
          <w:b w:val="0"/>
          <w:i w:val="0"/>
          <w:iCs/>
        </w:rPr>
      </w:pPr>
      <w:r w:rsidRPr="00033F9F">
        <w:rPr>
          <w:rStyle w:val="Strong"/>
          <w:b/>
          <w:i w:val="0"/>
          <w:iCs/>
        </w:rPr>
        <w:t>1. Scopul matricei de risc fiscal</w:t>
      </w:r>
    </w:p>
    <w:p w14:paraId="1B640E8C" w14:textId="77777777" w:rsidR="007C350E" w:rsidRDefault="00E64944">
      <w:pPr>
        <w:pStyle w:val="NormalWeb"/>
      </w:pPr>
      <w:r>
        <w:t>Matricea de risc fiscal are rolul de a identifica, evalua și controla riscurile fiscale semnificative la care este expusă societatea, în contextul intensificării analizelor de risc fiscal efectuate de ANAF în anul 2026.</w:t>
      </w:r>
    </w:p>
    <w:p w14:paraId="688ED963" w14:textId="77777777" w:rsidR="007C350E" w:rsidRDefault="00E64944">
      <w:pPr>
        <w:pStyle w:val="NormalWeb"/>
      </w:pPr>
      <w:r>
        <w:t>Documentul:</w:t>
      </w:r>
    </w:p>
    <w:p w14:paraId="4B36A493" w14:textId="77777777" w:rsidR="007C350E" w:rsidRDefault="00E64944">
      <w:pPr>
        <w:pStyle w:val="NormalWeb"/>
        <w:numPr>
          <w:ilvl w:val="0"/>
          <w:numId w:val="7"/>
        </w:numPr>
      </w:pPr>
      <w:r>
        <w:t>susține procedura de gestionare a riscului fiscal;</w:t>
      </w:r>
    </w:p>
    <w:p w14:paraId="0A546DAD" w14:textId="77777777" w:rsidR="007C350E" w:rsidRDefault="00E64944">
      <w:pPr>
        <w:pStyle w:val="NormalWeb"/>
        <w:numPr>
          <w:ilvl w:val="0"/>
          <w:numId w:val="7"/>
        </w:numPr>
      </w:pPr>
      <w:r>
        <w:t xml:space="preserve">demonstrează abordarea </w:t>
      </w:r>
      <w:r>
        <w:rPr>
          <w:rStyle w:val="Strong"/>
        </w:rPr>
        <w:t>proactivă</w:t>
      </w:r>
      <w:r>
        <w:t xml:space="preserve"> a administratorului;</w:t>
      </w:r>
    </w:p>
    <w:p w14:paraId="64004A41" w14:textId="77777777" w:rsidR="007C350E" w:rsidRDefault="00E64944">
      <w:pPr>
        <w:pStyle w:val="NormalWeb"/>
        <w:numPr>
          <w:ilvl w:val="0"/>
          <w:numId w:val="7"/>
        </w:numPr>
      </w:pPr>
      <w:r>
        <w:t>este instrument cheie în audit fiscal intern și controale ANAF.</w:t>
      </w:r>
    </w:p>
    <w:p w14:paraId="7A2D9998" w14:textId="77777777" w:rsidR="007C350E" w:rsidRDefault="007C350E">
      <w:pPr>
        <w:pStyle w:val="Heading2"/>
        <w:rPr>
          <w:rStyle w:val="Strong"/>
          <w:bCs w:val="0"/>
        </w:rPr>
      </w:pPr>
    </w:p>
    <w:p w14:paraId="426A5155" w14:textId="77777777" w:rsidR="007C350E" w:rsidRPr="00033F9F" w:rsidRDefault="00E64944">
      <w:pPr>
        <w:pStyle w:val="Heading2"/>
        <w:rPr>
          <w:b w:val="0"/>
          <w:i w:val="0"/>
          <w:iCs/>
        </w:rPr>
      </w:pPr>
      <w:r w:rsidRPr="00033F9F">
        <w:rPr>
          <w:rStyle w:val="Strong"/>
          <w:b/>
          <w:i w:val="0"/>
          <w:iCs/>
        </w:rPr>
        <w:t>2. Metodologia de evaluare a riscului fiscal</w:t>
      </w:r>
    </w:p>
    <w:p w14:paraId="03BF0020" w14:textId="77777777" w:rsidR="007C350E" w:rsidRDefault="00E64944">
      <w:pPr>
        <w:pStyle w:val="NormalWeb"/>
      </w:pPr>
      <w:r>
        <w:t>Fiecare risc fiscal este evaluat în funcție de:</w:t>
      </w:r>
    </w:p>
    <w:p w14:paraId="517481B9" w14:textId="77777777" w:rsidR="007C350E" w:rsidRDefault="00E64944">
      <w:pPr>
        <w:pStyle w:val="NormalWeb"/>
        <w:numPr>
          <w:ilvl w:val="0"/>
          <w:numId w:val="6"/>
        </w:numPr>
      </w:pPr>
      <w:r>
        <w:rPr>
          <w:rStyle w:val="Strong"/>
        </w:rPr>
        <w:t>Probabilitate</w:t>
      </w:r>
      <w:r>
        <w:t xml:space="preserve"> (1–5) – șansa de apariție;</w:t>
      </w:r>
    </w:p>
    <w:p w14:paraId="7DA17596" w14:textId="77777777" w:rsidR="007C350E" w:rsidRDefault="00E64944">
      <w:pPr>
        <w:pStyle w:val="NormalWeb"/>
        <w:numPr>
          <w:ilvl w:val="0"/>
          <w:numId w:val="6"/>
        </w:numPr>
      </w:pPr>
      <w:r>
        <w:rPr>
          <w:rStyle w:val="Strong"/>
        </w:rPr>
        <w:t>Impact</w:t>
      </w:r>
      <w:r>
        <w:t xml:space="preserve"> (1–5) – efectul financiar/juridic;</w:t>
      </w:r>
    </w:p>
    <w:p w14:paraId="36290476" w14:textId="77777777" w:rsidR="007C350E" w:rsidRDefault="00E64944">
      <w:pPr>
        <w:pStyle w:val="NormalWeb"/>
        <w:numPr>
          <w:ilvl w:val="0"/>
          <w:numId w:val="6"/>
        </w:numPr>
      </w:pPr>
      <w:r>
        <w:rPr>
          <w:rStyle w:val="Strong"/>
        </w:rPr>
        <w:t>Scor de risc</w:t>
      </w:r>
      <w:r>
        <w:t xml:space="preserve"> = Probabilitate × Impact.</w:t>
      </w:r>
    </w:p>
    <w:p w14:paraId="5E9CFE34" w14:textId="77777777" w:rsidR="007C350E" w:rsidRDefault="00E64944">
      <w:pPr>
        <w:pStyle w:val="Heading3"/>
      </w:pPr>
      <w:r>
        <w:t>Clasificare risc:</w:t>
      </w:r>
    </w:p>
    <w:p w14:paraId="47D0FAD7" w14:textId="77777777" w:rsidR="007C350E" w:rsidRDefault="00E64944">
      <w:pPr>
        <w:pStyle w:val="NormalWeb"/>
        <w:numPr>
          <w:ilvl w:val="0"/>
          <w:numId w:val="4"/>
        </w:numPr>
      </w:pPr>
      <w:r>
        <w:rPr>
          <w:rStyle w:val="Strong"/>
        </w:rPr>
        <w:t>1–8</w:t>
      </w:r>
      <w:r>
        <w:t xml:space="preserve"> → risc scăzut</w:t>
      </w:r>
    </w:p>
    <w:p w14:paraId="3733DDCD" w14:textId="77777777" w:rsidR="007C350E" w:rsidRDefault="00E64944">
      <w:pPr>
        <w:pStyle w:val="NormalWeb"/>
        <w:numPr>
          <w:ilvl w:val="0"/>
          <w:numId w:val="4"/>
        </w:numPr>
      </w:pPr>
      <w:r>
        <w:rPr>
          <w:rStyle w:val="Strong"/>
        </w:rPr>
        <w:t>9–15</w:t>
      </w:r>
      <w:r>
        <w:t xml:space="preserve"> → risc mediu</w:t>
      </w:r>
    </w:p>
    <w:p w14:paraId="5BD0D730" w14:textId="77777777" w:rsidR="007C350E" w:rsidRDefault="00E64944">
      <w:pPr>
        <w:pStyle w:val="NormalWeb"/>
        <w:numPr>
          <w:ilvl w:val="0"/>
          <w:numId w:val="4"/>
        </w:numPr>
      </w:pPr>
      <w:r>
        <w:rPr>
          <w:rStyle w:val="Strong"/>
        </w:rPr>
        <w:t>16–25</w:t>
      </w:r>
      <w:r>
        <w:t xml:space="preserve"> → risc ridicat</w:t>
      </w:r>
    </w:p>
    <w:p w14:paraId="75DC44D8" w14:textId="77777777" w:rsidR="007C350E" w:rsidRDefault="007C350E">
      <w:pPr>
        <w:pStyle w:val="Heading2"/>
        <w:rPr>
          <w:rStyle w:val="Strong"/>
          <w:bCs w:val="0"/>
        </w:rPr>
      </w:pPr>
    </w:p>
    <w:p w14:paraId="1E4A0EB4" w14:textId="77777777" w:rsidR="007C350E" w:rsidRPr="00033F9F" w:rsidRDefault="00E64944">
      <w:pPr>
        <w:pStyle w:val="Heading2"/>
        <w:rPr>
          <w:b w:val="0"/>
          <w:i w:val="0"/>
          <w:iCs/>
        </w:rPr>
      </w:pPr>
      <w:r w:rsidRPr="00033F9F">
        <w:rPr>
          <w:rStyle w:val="Strong"/>
          <w:b/>
          <w:i w:val="0"/>
          <w:iCs/>
        </w:rPr>
        <w:t>3. Categorii principale de risc fiscal (2026)</w:t>
      </w:r>
    </w:p>
    <w:p w14:paraId="1A22C92A" w14:textId="77777777" w:rsidR="007C350E" w:rsidRDefault="00E64944">
      <w:pPr>
        <w:pStyle w:val="Heading3"/>
      </w:pPr>
      <w:r>
        <w:rPr>
          <w:rStyle w:val="Strong"/>
          <w:bCs w:val="0"/>
        </w:rPr>
        <w:t>A. Risc declarativ</w:t>
      </w:r>
    </w:p>
    <w:p w14:paraId="438C0575" w14:textId="77777777" w:rsidR="007C350E" w:rsidRDefault="00E64944">
      <w:pPr>
        <w:pStyle w:val="NormalWeb"/>
        <w:numPr>
          <w:ilvl w:val="0"/>
          <w:numId w:val="8"/>
        </w:numPr>
      </w:pPr>
      <w:r>
        <w:t>depuneri tardive;</w:t>
      </w:r>
    </w:p>
    <w:p w14:paraId="6DBA31FE" w14:textId="77777777" w:rsidR="007C350E" w:rsidRDefault="00E64944">
      <w:pPr>
        <w:pStyle w:val="NormalWeb"/>
        <w:numPr>
          <w:ilvl w:val="0"/>
          <w:numId w:val="8"/>
        </w:numPr>
      </w:pPr>
      <w:r>
        <w:t>rectificări frecvente;</w:t>
      </w:r>
    </w:p>
    <w:p w14:paraId="1B1CCAF9" w14:textId="77777777" w:rsidR="007C350E" w:rsidRDefault="00E64944">
      <w:pPr>
        <w:pStyle w:val="NormalWeb"/>
        <w:numPr>
          <w:ilvl w:val="0"/>
          <w:numId w:val="8"/>
        </w:numPr>
      </w:pPr>
      <w:r>
        <w:t xml:space="preserve">declarații </w:t>
      </w:r>
      <w:r>
        <w:t>necorelate.</w:t>
      </w:r>
    </w:p>
    <w:p w14:paraId="3AA362F0" w14:textId="77777777" w:rsidR="007C350E" w:rsidRDefault="00E64944">
      <w:pPr>
        <w:pStyle w:val="Heading3"/>
      </w:pPr>
      <w:r>
        <w:rPr>
          <w:rStyle w:val="Strong"/>
          <w:bCs w:val="0"/>
        </w:rPr>
        <w:lastRenderedPageBreak/>
        <w:t>B. Risc TVA</w:t>
      </w:r>
    </w:p>
    <w:p w14:paraId="291758AC" w14:textId="77777777" w:rsidR="007C350E" w:rsidRDefault="00E64944">
      <w:pPr>
        <w:pStyle w:val="NormalWeb"/>
        <w:numPr>
          <w:ilvl w:val="0"/>
          <w:numId w:val="3"/>
        </w:numPr>
      </w:pPr>
      <w:r>
        <w:t>neconcordanțe e-Factura ↔ TVA;</w:t>
      </w:r>
    </w:p>
    <w:p w14:paraId="7FB17CE5" w14:textId="77777777" w:rsidR="007C350E" w:rsidRDefault="00E64944">
      <w:pPr>
        <w:pStyle w:val="NormalWeb"/>
        <w:numPr>
          <w:ilvl w:val="0"/>
          <w:numId w:val="3"/>
        </w:numPr>
      </w:pPr>
      <w:r>
        <w:t>TVA de rambursat recurent;</w:t>
      </w:r>
    </w:p>
    <w:p w14:paraId="57116928" w14:textId="77777777" w:rsidR="007C350E" w:rsidRDefault="00E64944">
      <w:pPr>
        <w:pStyle w:val="NormalWeb"/>
        <w:numPr>
          <w:ilvl w:val="0"/>
          <w:numId w:val="3"/>
        </w:numPr>
      </w:pPr>
      <w:r>
        <w:t>parteneri cu risc fiscal.</w:t>
      </w:r>
    </w:p>
    <w:p w14:paraId="51FC090F" w14:textId="77777777" w:rsidR="007C350E" w:rsidRDefault="00E64944">
      <w:pPr>
        <w:pStyle w:val="Heading3"/>
      </w:pPr>
      <w:r>
        <w:rPr>
          <w:rStyle w:val="Strong"/>
          <w:bCs w:val="0"/>
        </w:rPr>
        <w:t>C. Risc cheltuieli</w:t>
      </w:r>
    </w:p>
    <w:p w14:paraId="4CF46302" w14:textId="77777777" w:rsidR="007C350E" w:rsidRDefault="00E64944">
      <w:pPr>
        <w:pStyle w:val="NormalWeb"/>
        <w:numPr>
          <w:ilvl w:val="0"/>
          <w:numId w:val="11"/>
        </w:numPr>
      </w:pPr>
      <w:r>
        <w:t>deductibilitate nejustificată;</w:t>
      </w:r>
    </w:p>
    <w:p w14:paraId="56872668" w14:textId="77777777" w:rsidR="007C350E" w:rsidRDefault="00E64944">
      <w:pPr>
        <w:pStyle w:val="NormalWeb"/>
        <w:numPr>
          <w:ilvl w:val="0"/>
          <w:numId w:val="11"/>
        </w:numPr>
      </w:pPr>
      <w:r>
        <w:t>servicii fără substanță;</w:t>
      </w:r>
    </w:p>
    <w:p w14:paraId="19D94617" w14:textId="77777777" w:rsidR="007C350E" w:rsidRDefault="00E64944">
      <w:pPr>
        <w:pStyle w:val="NormalWeb"/>
        <w:numPr>
          <w:ilvl w:val="0"/>
          <w:numId w:val="11"/>
        </w:numPr>
      </w:pPr>
      <w:r>
        <w:t>protocol excesiv.</w:t>
      </w:r>
    </w:p>
    <w:p w14:paraId="3F629FD2" w14:textId="77777777" w:rsidR="007C350E" w:rsidRDefault="00E64944">
      <w:pPr>
        <w:pStyle w:val="Heading3"/>
      </w:pPr>
      <w:r>
        <w:rPr>
          <w:rStyle w:val="Strong"/>
          <w:bCs w:val="0"/>
        </w:rPr>
        <w:t>D. Risc salarial</w:t>
      </w:r>
    </w:p>
    <w:p w14:paraId="459A0F5C" w14:textId="77777777" w:rsidR="007C350E" w:rsidRDefault="00E64944">
      <w:pPr>
        <w:pStyle w:val="NormalWeb"/>
        <w:numPr>
          <w:ilvl w:val="0"/>
          <w:numId w:val="5"/>
        </w:numPr>
      </w:pPr>
      <w:r>
        <w:t>beneficii nedeclarate;</w:t>
      </w:r>
    </w:p>
    <w:p w14:paraId="424C0E9E" w14:textId="77777777" w:rsidR="007C350E" w:rsidRDefault="00E64944">
      <w:pPr>
        <w:pStyle w:val="NormalWeb"/>
        <w:numPr>
          <w:ilvl w:val="0"/>
          <w:numId w:val="5"/>
        </w:numPr>
      </w:pPr>
      <w:r>
        <w:t>fluctuații artificiale;</w:t>
      </w:r>
    </w:p>
    <w:p w14:paraId="7AD9A733" w14:textId="77777777" w:rsidR="007C350E" w:rsidRDefault="00E64944">
      <w:pPr>
        <w:pStyle w:val="NormalWeb"/>
        <w:numPr>
          <w:ilvl w:val="0"/>
          <w:numId w:val="5"/>
        </w:numPr>
      </w:pPr>
      <w:r>
        <w:t>colaboratori reîncadrați.</w:t>
      </w:r>
    </w:p>
    <w:p w14:paraId="0AF04DA3" w14:textId="77777777" w:rsidR="007C350E" w:rsidRDefault="00E64944">
      <w:pPr>
        <w:pStyle w:val="Heading3"/>
      </w:pPr>
      <w:r>
        <w:rPr>
          <w:rStyle w:val="Strong"/>
          <w:bCs w:val="0"/>
        </w:rPr>
        <w:t>E. Risc patrimonial</w:t>
      </w:r>
    </w:p>
    <w:p w14:paraId="3FDF0E4D" w14:textId="77777777" w:rsidR="007C350E" w:rsidRDefault="00E64944">
      <w:pPr>
        <w:pStyle w:val="NormalWeb"/>
        <w:numPr>
          <w:ilvl w:val="0"/>
          <w:numId w:val="9"/>
        </w:numPr>
      </w:pPr>
      <w:r>
        <w:t>amortizări agresive;</w:t>
      </w:r>
    </w:p>
    <w:p w14:paraId="6B3480A1" w14:textId="77777777" w:rsidR="007C350E" w:rsidRDefault="00E64944">
      <w:pPr>
        <w:pStyle w:val="NormalWeb"/>
        <w:numPr>
          <w:ilvl w:val="0"/>
          <w:numId w:val="9"/>
        </w:numPr>
      </w:pPr>
      <w:r>
        <w:t>casări frecvente;</w:t>
      </w:r>
    </w:p>
    <w:p w14:paraId="58378677" w14:textId="77777777" w:rsidR="007C350E" w:rsidRDefault="00E64944">
      <w:pPr>
        <w:pStyle w:val="NormalWeb"/>
        <w:numPr>
          <w:ilvl w:val="0"/>
          <w:numId w:val="9"/>
        </w:numPr>
      </w:pPr>
      <w:r>
        <w:t>lipsă documente.</w:t>
      </w:r>
    </w:p>
    <w:p w14:paraId="652E654F" w14:textId="77777777" w:rsidR="007C350E" w:rsidRDefault="007C350E">
      <w:pPr>
        <w:pStyle w:val="Heading2"/>
        <w:rPr>
          <w:rStyle w:val="Strong"/>
          <w:bCs w:val="0"/>
        </w:rPr>
      </w:pPr>
    </w:p>
    <w:p w14:paraId="3FF17EFC" w14:textId="77777777" w:rsidR="007C350E" w:rsidRPr="00E64944" w:rsidRDefault="00E64944">
      <w:pPr>
        <w:pStyle w:val="Heading2"/>
        <w:rPr>
          <w:b w:val="0"/>
          <w:i w:val="0"/>
          <w:iCs/>
        </w:rPr>
      </w:pPr>
      <w:r w:rsidRPr="00E64944">
        <w:rPr>
          <w:rStyle w:val="Strong"/>
          <w:b/>
          <w:i w:val="0"/>
          <w:iCs/>
        </w:rPr>
        <w:t>4. Model de matrice – exemplu completat (Word)</w:t>
      </w:r>
    </w:p>
    <w:tbl>
      <w:tblPr>
        <w:tblW w:w="8743" w:type="dxa"/>
        <w:tblLayout w:type="fixed"/>
        <w:tblLook w:val="04A0" w:firstRow="1" w:lastRow="0" w:firstColumn="1" w:lastColumn="0" w:noHBand="0" w:noVBand="1"/>
      </w:tblPr>
      <w:tblGrid>
        <w:gridCol w:w="1649"/>
        <w:gridCol w:w="3488"/>
        <w:gridCol w:w="783"/>
        <w:gridCol w:w="950"/>
        <w:gridCol w:w="683"/>
        <w:gridCol w:w="1190"/>
      </w:tblGrid>
      <w:tr w:rsidR="007C350E" w14:paraId="4F1FB8AF" w14:textId="77777777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69FB" w14:textId="77777777" w:rsidR="007C350E" w:rsidRDefault="00E64944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Categorie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risc</w:t>
            </w:r>
            <w:proofErr w:type="spellEnd"/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B9343" w14:textId="77777777" w:rsidR="007C350E" w:rsidRDefault="00E64944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Descriere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risc</w:t>
            </w:r>
            <w:proofErr w:type="spellEnd"/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12FC" w14:textId="77777777" w:rsidR="007C350E" w:rsidRDefault="00E6494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Prob.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E1662" w14:textId="77777777" w:rsidR="007C350E" w:rsidRDefault="00E6494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Impact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5B7F" w14:textId="77777777" w:rsidR="007C350E" w:rsidRDefault="00E64944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Scor</w:t>
            </w:r>
            <w:proofErr w:type="spell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E793" w14:textId="77777777" w:rsidR="007C350E" w:rsidRDefault="00E6494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Nivel</w:t>
            </w:r>
          </w:p>
        </w:tc>
      </w:tr>
      <w:tr w:rsidR="007C350E" w14:paraId="2D97C390" w14:textId="77777777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F9F4" w14:textId="77777777" w:rsidR="007C350E" w:rsidRDefault="00E64944">
            <w:pPr>
              <w:rPr>
                <w:szCs w:val="24"/>
              </w:rPr>
            </w:pPr>
            <w:r>
              <w:t>TVA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DBA18" w14:textId="77777777" w:rsidR="007C350E" w:rsidRDefault="00E64944">
            <w:pPr>
              <w:rPr>
                <w:szCs w:val="24"/>
              </w:rPr>
            </w:pPr>
            <w:proofErr w:type="spellStart"/>
            <w:r>
              <w:t>Neconcordanțe</w:t>
            </w:r>
            <w:proofErr w:type="spellEnd"/>
            <w:r>
              <w:t xml:space="preserve"> e-Factura ↔ TVA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E3E4" w14:textId="77777777" w:rsidR="007C350E" w:rsidRDefault="00E64944">
            <w:pPr>
              <w:rPr>
                <w:szCs w:val="24"/>
              </w:rPr>
            </w:pPr>
            <w:r>
              <w:t>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6C02" w14:textId="77777777" w:rsidR="007C350E" w:rsidRDefault="00E64944">
            <w:pPr>
              <w:rPr>
                <w:szCs w:val="24"/>
              </w:rPr>
            </w:pPr>
            <w:r>
              <w:t>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5BD3" w14:textId="77777777" w:rsidR="007C350E" w:rsidRDefault="00E64944">
            <w:pPr>
              <w:rPr>
                <w:szCs w:val="24"/>
              </w:rPr>
            </w:pPr>
            <w:r>
              <w:t>20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71FD" w14:textId="77777777" w:rsidR="007C350E" w:rsidRDefault="00E64944">
            <w:pPr>
              <w:rPr>
                <w:szCs w:val="24"/>
              </w:rPr>
            </w:pPr>
            <w:r>
              <w:t>RIDICAT</w:t>
            </w:r>
          </w:p>
        </w:tc>
      </w:tr>
      <w:tr w:rsidR="007C350E" w14:paraId="7608AAC3" w14:textId="77777777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3E2F" w14:textId="77777777" w:rsidR="007C350E" w:rsidRDefault="00E64944">
            <w:pPr>
              <w:rPr>
                <w:szCs w:val="24"/>
              </w:rPr>
            </w:pPr>
            <w:proofErr w:type="spellStart"/>
            <w:r>
              <w:t>Cheltuieli</w:t>
            </w:r>
            <w:proofErr w:type="spellEnd"/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66DD" w14:textId="77777777" w:rsidR="007C350E" w:rsidRDefault="00E64944">
            <w:pPr>
              <w:rPr>
                <w:szCs w:val="24"/>
              </w:rPr>
            </w:pPr>
            <w:proofErr w:type="spellStart"/>
            <w:r>
              <w:t>Servicii</w:t>
            </w:r>
            <w:proofErr w:type="spellEnd"/>
            <w:r>
              <w:t xml:space="preserve"> externe </w:t>
            </w:r>
            <w:proofErr w:type="spellStart"/>
            <w:r>
              <w:t>nejustificate</w:t>
            </w:r>
            <w:proofErr w:type="spellEnd"/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32BAA" w14:textId="77777777" w:rsidR="007C350E" w:rsidRDefault="00E64944">
            <w:pPr>
              <w:rPr>
                <w:szCs w:val="24"/>
              </w:rPr>
            </w:pPr>
            <w:r>
              <w:t>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EA81" w14:textId="77777777" w:rsidR="007C350E" w:rsidRDefault="00E64944">
            <w:pPr>
              <w:rPr>
                <w:szCs w:val="24"/>
              </w:rPr>
            </w:pPr>
            <w:r>
              <w:t>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73738" w14:textId="77777777" w:rsidR="007C350E" w:rsidRDefault="00E64944">
            <w:pPr>
              <w:rPr>
                <w:szCs w:val="24"/>
              </w:rPr>
            </w:pPr>
            <w:r>
              <w:t>12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E4FD0" w14:textId="77777777" w:rsidR="007C350E" w:rsidRDefault="00E64944">
            <w:pPr>
              <w:rPr>
                <w:szCs w:val="24"/>
              </w:rPr>
            </w:pPr>
            <w:r>
              <w:t>MEDIU</w:t>
            </w:r>
          </w:p>
        </w:tc>
      </w:tr>
      <w:tr w:rsidR="007C350E" w14:paraId="7D3090BD" w14:textId="77777777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F0A1" w14:textId="77777777" w:rsidR="007C350E" w:rsidRDefault="00E64944">
            <w:pPr>
              <w:rPr>
                <w:szCs w:val="24"/>
              </w:rPr>
            </w:pPr>
            <w:proofErr w:type="spellStart"/>
            <w:r>
              <w:t>Declarativ</w:t>
            </w:r>
            <w:proofErr w:type="spellEnd"/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18A5" w14:textId="77777777" w:rsidR="007C350E" w:rsidRDefault="00E64944">
            <w:pPr>
              <w:rPr>
                <w:szCs w:val="24"/>
              </w:rPr>
            </w:pPr>
            <w:proofErr w:type="spellStart"/>
            <w:r>
              <w:t>Rectificări</w:t>
            </w:r>
            <w:proofErr w:type="spellEnd"/>
            <w:r>
              <w:t xml:space="preserve"> </w:t>
            </w:r>
            <w:proofErr w:type="spellStart"/>
            <w:r>
              <w:t>repetate</w:t>
            </w:r>
            <w:proofErr w:type="spellEnd"/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48B5" w14:textId="77777777" w:rsidR="007C350E" w:rsidRDefault="00E64944">
            <w:pPr>
              <w:rPr>
                <w:szCs w:val="24"/>
              </w:rPr>
            </w:pPr>
            <w:r>
              <w:t>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2EA2" w14:textId="77777777" w:rsidR="007C350E" w:rsidRDefault="00E64944">
            <w:pPr>
              <w:rPr>
                <w:szCs w:val="24"/>
              </w:rPr>
            </w:pPr>
            <w:r>
              <w:t>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8BF77" w14:textId="77777777" w:rsidR="007C350E" w:rsidRDefault="00E64944">
            <w:pPr>
              <w:rPr>
                <w:szCs w:val="24"/>
              </w:rPr>
            </w:pPr>
            <w:r>
              <w:t>9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FE11" w14:textId="77777777" w:rsidR="007C350E" w:rsidRDefault="00E64944">
            <w:pPr>
              <w:rPr>
                <w:szCs w:val="24"/>
              </w:rPr>
            </w:pPr>
            <w:r>
              <w:t>MEDIU</w:t>
            </w:r>
          </w:p>
        </w:tc>
      </w:tr>
      <w:tr w:rsidR="007C350E" w14:paraId="20862B8A" w14:textId="77777777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D9633" w14:textId="77777777" w:rsidR="007C350E" w:rsidRDefault="00E64944">
            <w:pPr>
              <w:rPr>
                <w:szCs w:val="24"/>
              </w:rPr>
            </w:pPr>
            <w:proofErr w:type="spellStart"/>
            <w:r>
              <w:t>Salarizare</w:t>
            </w:r>
            <w:proofErr w:type="spellEnd"/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FFF7" w14:textId="77777777" w:rsidR="007C350E" w:rsidRDefault="00E64944">
            <w:pPr>
              <w:rPr>
                <w:szCs w:val="24"/>
              </w:rPr>
            </w:pPr>
            <w:proofErr w:type="spellStart"/>
            <w:r>
              <w:t>Beneficii</w:t>
            </w:r>
            <w:proofErr w:type="spellEnd"/>
            <w:r>
              <w:t xml:space="preserve"> </w:t>
            </w:r>
            <w:proofErr w:type="spellStart"/>
            <w:r>
              <w:t>nedeclarate</w:t>
            </w:r>
            <w:proofErr w:type="spellEnd"/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6D9E" w14:textId="77777777" w:rsidR="007C350E" w:rsidRDefault="00E64944">
            <w:pPr>
              <w:rPr>
                <w:szCs w:val="24"/>
              </w:rPr>
            </w:pPr>
            <w:r>
              <w:t>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F36E" w14:textId="77777777" w:rsidR="007C350E" w:rsidRDefault="00E64944">
            <w:pPr>
              <w:rPr>
                <w:szCs w:val="24"/>
              </w:rPr>
            </w:pPr>
            <w:r>
              <w:t>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7A32C" w14:textId="77777777" w:rsidR="007C350E" w:rsidRDefault="00E64944">
            <w:pPr>
              <w:rPr>
                <w:szCs w:val="24"/>
              </w:rPr>
            </w:pPr>
            <w:r>
              <w:t>10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8B28" w14:textId="77777777" w:rsidR="007C350E" w:rsidRDefault="00E64944">
            <w:pPr>
              <w:rPr>
                <w:szCs w:val="24"/>
              </w:rPr>
            </w:pPr>
            <w:r>
              <w:t>MEDIU</w:t>
            </w:r>
          </w:p>
        </w:tc>
      </w:tr>
    </w:tbl>
    <w:p w14:paraId="564114D7" w14:textId="77777777" w:rsidR="007C350E" w:rsidRDefault="007C350E">
      <w:pPr>
        <w:pStyle w:val="Heading2"/>
        <w:rPr>
          <w:rStyle w:val="Strong"/>
          <w:bCs w:val="0"/>
        </w:rPr>
      </w:pPr>
    </w:p>
    <w:p w14:paraId="19C94F6E" w14:textId="77777777" w:rsidR="007C350E" w:rsidRPr="00E64944" w:rsidRDefault="00E64944">
      <w:pPr>
        <w:pStyle w:val="Heading2"/>
        <w:rPr>
          <w:b w:val="0"/>
          <w:i w:val="0"/>
          <w:iCs/>
        </w:rPr>
      </w:pPr>
      <w:r w:rsidRPr="00E64944">
        <w:rPr>
          <w:rStyle w:val="Strong"/>
          <w:b/>
          <w:i w:val="0"/>
          <w:iCs/>
        </w:rPr>
        <w:t>5. Măsuri de control asociate</w:t>
      </w:r>
    </w:p>
    <w:p w14:paraId="5AF8E1D6" w14:textId="77777777" w:rsidR="007C350E" w:rsidRDefault="00E64944">
      <w:pPr>
        <w:pStyle w:val="NormalWeb"/>
      </w:pPr>
      <w:r>
        <w:t xml:space="preserve">Pentru fiecare risc se </w:t>
      </w:r>
      <w:r>
        <w:t>stabilesc:</w:t>
      </w:r>
    </w:p>
    <w:p w14:paraId="18FCB566" w14:textId="77777777" w:rsidR="007C350E" w:rsidRDefault="00E64944">
      <w:pPr>
        <w:pStyle w:val="NormalWeb"/>
        <w:numPr>
          <w:ilvl w:val="0"/>
          <w:numId w:val="2"/>
        </w:numPr>
      </w:pPr>
      <w:r>
        <w:t>măsuri existente;</w:t>
      </w:r>
    </w:p>
    <w:p w14:paraId="31C7B7B0" w14:textId="77777777" w:rsidR="007C350E" w:rsidRDefault="00E64944">
      <w:pPr>
        <w:pStyle w:val="NormalWeb"/>
        <w:numPr>
          <w:ilvl w:val="0"/>
          <w:numId w:val="2"/>
        </w:numPr>
      </w:pPr>
      <w:r>
        <w:t>măsuri suplimentare;</w:t>
      </w:r>
    </w:p>
    <w:p w14:paraId="55DEA62A" w14:textId="77777777" w:rsidR="007C350E" w:rsidRDefault="00E64944">
      <w:pPr>
        <w:pStyle w:val="NormalWeb"/>
        <w:numPr>
          <w:ilvl w:val="0"/>
          <w:numId w:val="2"/>
        </w:numPr>
      </w:pPr>
      <w:r>
        <w:t>responsabil;</w:t>
      </w:r>
    </w:p>
    <w:p w14:paraId="5999812F" w14:textId="77777777" w:rsidR="007C350E" w:rsidRDefault="00E64944">
      <w:pPr>
        <w:pStyle w:val="NormalWeb"/>
        <w:numPr>
          <w:ilvl w:val="0"/>
          <w:numId w:val="2"/>
        </w:numPr>
      </w:pPr>
      <w:r>
        <w:t>termen de implementare.</w:t>
      </w:r>
    </w:p>
    <w:p w14:paraId="70FDBF70" w14:textId="650341E6" w:rsidR="007C350E" w:rsidRPr="00E64944" w:rsidRDefault="00E64944">
      <w:pPr>
        <w:pStyle w:val="NormalWeb"/>
        <w:rPr>
          <w:i/>
          <w:iCs/>
        </w:rPr>
      </w:pPr>
      <w:r w:rsidRPr="00E64944">
        <w:rPr>
          <w:rStyle w:val="Strong"/>
          <w:i/>
          <w:iCs/>
        </w:rPr>
        <w:t>Exemplu:</w:t>
      </w:r>
      <w:r w:rsidRPr="00E64944">
        <w:rPr>
          <w:i/>
          <w:iCs/>
        </w:rPr>
        <w:br/>
        <w:t>Risc TVA ridicat → reconciliere lunară e-Factura – TVA – contabilitate.</w:t>
      </w:r>
    </w:p>
    <w:p w14:paraId="51A623F2" w14:textId="77777777" w:rsidR="007C350E" w:rsidRDefault="007C350E">
      <w:pPr>
        <w:pStyle w:val="Heading2"/>
        <w:rPr>
          <w:rStyle w:val="Strong"/>
          <w:bCs w:val="0"/>
        </w:rPr>
      </w:pPr>
    </w:p>
    <w:p w14:paraId="6DBDE948" w14:textId="77777777" w:rsidR="007C350E" w:rsidRPr="00E64944" w:rsidRDefault="00E64944">
      <w:pPr>
        <w:pStyle w:val="Heading2"/>
        <w:rPr>
          <w:b w:val="0"/>
          <w:i w:val="0"/>
          <w:iCs/>
        </w:rPr>
      </w:pPr>
      <w:r w:rsidRPr="00E64944">
        <w:rPr>
          <w:rStyle w:val="Strong"/>
          <w:b/>
          <w:i w:val="0"/>
          <w:iCs/>
        </w:rPr>
        <w:t>6. Rolul administratorului</w:t>
      </w:r>
    </w:p>
    <w:p w14:paraId="29AB5E5A" w14:textId="77777777" w:rsidR="007C350E" w:rsidRDefault="00E64944">
      <w:pPr>
        <w:pStyle w:val="NormalWeb"/>
      </w:pPr>
      <w:r>
        <w:t>Administratorul:</w:t>
      </w:r>
    </w:p>
    <w:p w14:paraId="2E4F6B74" w14:textId="77777777" w:rsidR="007C350E" w:rsidRDefault="00E64944">
      <w:pPr>
        <w:pStyle w:val="NormalWeb"/>
        <w:numPr>
          <w:ilvl w:val="0"/>
          <w:numId w:val="10"/>
        </w:numPr>
      </w:pPr>
      <w:r>
        <w:t>aprobă matricea de risc;</w:t>
      </w:r>
    </w:p>
    <w:p w14:paraId="37DA02EE" w14:textId="77777777" w:rsidR="007C350E" w:rsidRDefault="00E64944">
      <w:pPr>
        <w:pStyle w:val="NormalWeb"/>
        <w:numPr>
          <w:ilvl w:val="0"/>
          <w:numId w:val="10"/>
        </w:numPr>
      </w:pPr>
      <w:r>
        <w:t>monitorizează riscurile ridicate;</w:t>
      </w:r>
    </w:p>
    <w:p w14:paraId="41AF2A5F" w14:textId="77777777" w:rsidR="007C350E" w:rsidRDefault="00E64944">
      <w:pPr>
        <w:pStyle w:val="NormalWeb"/>
        <w:numPr>
          <w:ilvl w:val="0"/>
          <w:numId w:val="10"/>
        </w:numPr>
      </w:pPr>
      <w:r>
        <w:t>dispune măsuri corective;</w:t>
      </w:r>
    </w:p>
    <w:p w14:paraId="77F9440B" w14:textId="77777777" w:rsidR="007C350E" w:rsidRDefault="00E64944">
      <w:pPr>
        <w:pStyle w:val="NormalWeb"/>
        <w:numPr>
          <w:ilvl w:val="0"/>
          <w:numId w:val="10"/>
        </w:numPr>
      </w:pPr>
      <w:r>
        <w:t>demonstrează diligență fiscală.</w:t>
      </w:r>
    </w:p>
    <w:p w14:paraId="30B4496A" w14:textId="4904053F" w:rsidR="007C350E" w:rsidRPr="00E64944" w:rsidRDefault="00E64944">
      <w:pPr>
        <w:pStyle w:val="NormalWeb"/>
        <w:rPr>
          <w:i/>
          <w:iCs/>
        </w:rPr>
      </w:pPr>
      <w:r w:rsidRPr="00E64944">
        <w:rPr>
          <w:rStyle w:val="Strong"/>
          <w:i/>
          <w:iCs/>
        </w:rPr>
        <w:t>Atenționare:</w:t>
      </w:r>
      <w:r w:rsidRPr="00E64944">
        <w:rPr>
          <w:i/>
          <w:iCs/>
        </w:rPr>
        <w:br/>
        <w:t xml:space="preserve">Lipsa unei matrice de risc este considerată </w:t>
      </w:r>
      <w:r w:rsidRPr="00E64944">
        <w:rPr>
          <w:rStyle w:val="Strong"/>
          <w:i/>
          <w:iCs/>
        </w:rPr>
        <w:t>indicator de risc în sine</w:t>
      </w:r>
      <w:r w:rsidRPr="00E64944">
        <w:rPr>
          <w:i/>
          <w:iCs/>
        </w:rPr>
        <w:t>.</w:t>
      </w:r>
    </w:p>
    <w:p w14:paraId="0F71453F" w14:textId="77777777" w:rsidR="007C350E" w:rsidRDefault="007C350E">
      <w:pPr>
        <w:pStyle w:val="Heading2"/>
        <w:rPr>
          <w:rStyle w:val="Strong"/>
          <w:bCs w:val="0"/>
        </w:rPr>
      </w:pPr>
    </w:p>
    <w:p w14:paraId="077A3E48" w14:textId="77777777" w:rsidR="007C350E" w:rsidRPr="00E64944" w:rsidRDefault="00E64944">
      <w:pPr>
        <w:pStyle w:val="Heading2"/>
        <w:rPr>
          <w:b w:val="0"/>
          <w:i w:val="0"/>
          <w:iCs/>
        </w:rPr>
      </w:pPr>
      <w:r w:rsidRPr="00E64944">
        <w:rPr>
          <w:rStyle w:val="Strong"/>
          <w:b/>
          <w:i w:val="0"/>
          <w:iCs/>
        </w:rPr>
        <w:t>7. Revizuire</w:t>
      </w:r>
    </w:p>
    <w:p w14:paraId="77B41310" w14:textId="77777777" w:rsidR="007C350E" w:rsidRDefault="00E64944">
      <w:pPr>
        <w:pStyle w:val="NormalWeb"/>
      </w:pPr>
      <w:r>
        <w:t>Matricea se actualizează:</w:t>
      </w:r>
    </w:p>
    <w:p w14:paraId="524C54E2" w14:textId="77777777" w:rsidR="007C350E" w:rsidRDefault="00E64944">
      <w:pPr>
        <w:pStyle w:val="NormalWeb"/>
        <w:numPr>
          <w:ilvl w:val="0"/>
          <w:numId w:val="12"/>
        </w:numPr>
      </w:pPr>
      <w:r>
        <w:t>trimestrial;</w:t>
      </w:r>
    </w:p>
    <w:p w14:paraId="5561368B" w14:textId="77777777" w:rsidR="007C350E" w:rsidRDefault="00E64944">
      <w:pPr>
        <w:pStyle w:val="NormalWeb"/>
        <w:numPr>
          <w:ilvl w:val="0"/>
          <w:numId w:val="12"/>
        </w:numPr>
      </w:pPr>
      <w:r>
        <w:t>la modificări legislative;</w:t>
      </w:r>
    </w:p>
    <w:p w14:paraId="0D76678A" w14:textId="77777777" w:rsidR="007C350E" w:rsidRDefault="00E64944">
      <w:pPr>
        <w:pStyle w:val="NormalWeb"/>
        <w:numPr>
          <w:ilvl w:val="0"/>
          <w:numId w:val="12"/>
        </w:numPr>
      </w:pPr>
      <w:r>
        <w:t>după controale ANAF.</w:t>
      </w:r>
    </w:p>
    <w:p w14:paraId="126EC1F9" w14:textId="77777777" w:rsidR="007C350E" w:rsidRDefault="007C350E"/>
    <w:sectPr w:rsidR="007C350E">
      <w:pgSz w:w="12240" w:h="15840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02427"/>
    <w:multiLevelType w:val="multilevel"/>
    <w:tmpl w:val="5D6A1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14E95549"/>
    <w:multiLevelType w:val="multilevel"/>
    <w:tmpl w:val="1E4A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1CD70FD9"/>
    <w:multiLevelType w:val="multilevel"/>
    <w:tmpl w:val="4AD8B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24841220"/>
    <w:multiLevelType w:val="multilevel"/>
    <w:tmpl w:val="FE30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272D26CC"/>
    <w:multiLevelType w:val="multilevel"/>
    <w:tmpl w:val="1FFE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319A12BC"/>
    <w:multiLevelType w:val="multilevel"/>
    <w:tmpl w:val="CBE0C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36DC485A"/>
    <w:multiLevelType w:val="multilevel"/>
    <w:tmpl w:val="BF1E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3B4462F8"/>
    <w:multiLevelType w:val="multilevel"/>
    <w:tmpl w:val="07D6E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48995A54"/>
    <w:multiLevelType w:val="multilevel"/>
    <w:tmpl w:val="2BB4F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541A40F0"/>
    <w:multiLevelType w:val="multilevel"/>
    <w:tmpl w:val="D7DCA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55B24993"/>
    <w:multiLevelType w:val="multilevel"/>
    <w:tmpl w:val="8FF2BFA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2DC6963"/>
    <w:multiLevelType w:val="multilevel"/>
    <w:tmpl w:val="9BCEC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1444880551">
    <w:abstractNumId w:val="10"/>
  </w:num>
  <w:num w:numId="2" w16cid:durableId="1809664752">
    <w:abstractNumId w:val="5"/>
  </w:num>
  <w:num w:numId="3" w16cid:durableId="1814450056">
    <w:abstractNumId w:val="8"/>
  </w:num>
  <w:num w:numId="4" w16cid:durableId="1110205195">
    <w:abstractNumId w:val="3"/>
  </w:num>
  <w:num w:numId="5" w16cid:durableId="1515530747">
    <w:abstractNumId w:val="11"/>
  </w:num>
  <w:num w:numId="6" w16cid:durableId="2146267979">
    <w:abstractNumId w:val="1"/>
  </w:num>
  <w:num w:numId="7" w16cid:durableId="452479174">
    <w:abstractNumId w:val="6"/>
  </w:num>
  <w:num w:numId="8" w16cid:durableId="1505827032">
    <w:abstractNumId w:val="2"/>
  </w:num>
  <w:num w:numId="9" w16cid:durableId="443965647">
    <w:abstractNumId w:val="0"/>
  </w:num>
  <w:num w:numId="10" w16cid:durableId="685446512">
    <w:abstractNumId w:val="9"/>
  </w:num>
  <w:num w:numId="11" w16cid:durableId="1534342036">
    <w:abstractNumId w:val="7"/>
  </w:num>
  <w:num w:numId="12" w16cid:durableId="2791873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0"/>
  <w:characterSpacingControl w:val="doNotCompress"/>
  <w:compat>
    <w:usePrinterMetrics/>
    <w:doNotBreakWrappedTables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C350E"/>
    <w:rsid w:val="00033F9F"/>
    <w:rsid w:val="007C350E"/>
    <w:rsid w:val="00E64944"/>
    <w:rsid w:val="00F9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09DDA"/>
  <w15:docId w15:val="{E833456E-B168-4901-B83B-B51D94F7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Cs w:val="20"/>
      <w:lang w:bidi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2"/>
      <w:sz w:val="32"/>
      <w:lang w:val="ro-RO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8"/>
      <w:lang w:val="ro-RO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lang w:val="ro-RO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i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BodyText"/>
    <w:uiPriority w:val="9"/>
    <w:semiHidden/>
    <w:unhideWhenUsed/>
    <w:qFormat/>
    <w:pPr>
      <w:numPr>
        <w:ilvl w:val="5"/>
        <w:numId w:val="1"/>
      </w:numPr>
      <w:spacing w:before="100" w:after="100"/>
      <w:jc w:val="center"/>
      <w:outlineLvl w:val="5"/>
    </w:pPr>
    <w:rPr>
      <w:b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  <w:rPr>
      <w:rFonts w:ascii="Courier New" w:hAnsi="Courier New" w:cs="Courier New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WW8Num4z0">
    <w:name w:val="WW8Num4z0"/>
    <w:qFormat/>
    <w:rPr>
      <w:rFonts w:ascii="Symbol" w:hAnsi="Symbol" w:cs="Symbol"/>
      <w:sz w:val="20"/>
    </w:rPr>
  </w:style>
  <w:style w:type="character" w:customStyle="1" w:styleId="WW8Num4z1">
    <w:name w:val="WW8Num4z1"/>
    <w:qFormat/>
    <w:rPr>
      <w:rFonts w:ascii="Courier New" w:hAnsi="Courier New" w:cs="Courier New"/>
      <w:sz w:val="20"/>
    </w:rPr>
  </w:style>
  <w:style w:type="character" w:customStyle="1" w:styleId="WW8Num4z2">
    <w:name w:val="WW8Num4z2"/>
    <w:qFormat/>
    <w:rPr>
      <w:rFonts w:ascii="Wingdings" w:hAnsi="Wingdings" w:cs="Wingdings"/>
      <w:sz w:val="20"/>
    </w:rPr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WW8Num5z1">
    <w:name w:val="WW8Num5z1"/>
    <w:qFormat/>
    <w:rPr>
      <w:rFonts w:ascii="Courier New" w:hAnsi="Courier New" w:cs="Courier New"/>
      <w:sz w:val="20"/>
    </w:rPr>
  </w:style>
  <w:style w:type="character" w:customStyle="1" w:styleId="WW8Num5z2">
    <w:name w:val="WW8Num5z2"/>
    <w:qFormat/>
    <w:rPr>
      <w:rFonts w:ascii="Wingdings" w:hAnsi="Wingdings" w:cs="Wingdings"/>
      <w:sz w:val="20"/>
    </w:rPr>
  </w:style>
  <w:style w:type="character" w:customStyle="1" w:styleId="WW8Num6z0">
    <w:name w:val="WW8Num6z0"/>
    <w:qFormat/>
    <w:rPr>
      <w:rFonts w:ascii="Symbol" w:hAnsi="Symbol" w:cs="Symbol"/>
      <w:sz w:val="20"/>
    </w:rPr>
  </w:style>
  <w:style w:type="character" w:customStyle="1" w:styleId="WW8Num6z1">
    <w:name w:val="WW8Num6z1"/>
    <w:qFormat/>
    <w:rPr>
      <w:rFonts w:ascii="Courier New" w:hAnsi="Courier New" w:cs="Courier New"/>
      <w:sz w:val="20"/>
    </w:rPr>
  </w:style>
  <w:style w:type="character" w:customStyle="1" w:styleId="WW8Num6z2">
    <w:name w:val="WW8Num6z2"/>
    <w:qFormat/>
    <w:rPr>
      <w:rFonts w:ascii="Wingdings" w:hAnsi="Wingdings" w:cs="Wingdings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Symbol"/>
      <w:sz w:val="20"/>
    </w:rPr>
  </w:style>
  <w:style w:type="character" w:customStyle="1" w:styleId="WW8Num10z1">
    <w:name w:val="WW8Num10z1"/>
    <w:qFormat/>
    <w:rPr>
      <w:rFonts w:ascii="Courier New" w:hAnsi="Courier New" w:cs="Courier New"/>
      <w:sz w:val="20"/>
    </w:rPr>
  </w:style>
  <w:style w:type="character" w:customStyle="1" w:styleId="WW8Num10z2">
    <w:name w:val="WW8Num10z2"/>
    <w:qFormat/>
    <w:rPr>
      <w:rFonts w:ascii="Wingdings" w:hAnsi="Wingdings" w:cs="Wingdings"/>
      <w:sz w:val="20"/>
    </w:rPr>
  </w:style>
  <w:style w:type="character" w:customStyle="1" w:styleId="WW8Num11z0">
    <w:name w:val="WW8Num11z0"/>
    <w:qFormat/>
    <w:rPr>
      <w:rFonts w:ascii="Symbol" w:hAnsi="Symbol" w:cs="Symbol"/>
      <w:sz w:val="20"/>
    </w:rPr>
  </w:style>
  <w:style w:type="character" w:customStyle="1" w:styleId="WW8Num11z1">
    <w:name w:val="WW8Num11z1"/>
    <w:qFormat/>
    <w:rPr>
      <w:rFonts w:ascii="Courier New" w:hAnsi="Courier New" w:cs="Courier New"/>
      <w:sz w:val="20"/>
    </w:rPr>
  </w:style>
  <w:style w:type="character" w:customStyle="1" w:styleId="WW8Num11z2">
    <w:name w:val="WW8Num11z2"/>
    <w:qFormat/>
    <w:rPr>
      <w:rFonts w:ascii="Wingdings" w:hAnsi="Wingdings" w:cs="Wingdings"/>
      <w:sz w:val="20"/>
    </w:rPr>
  </w:style>
  <w:style w:type="character" w:customStyle="1" w:styleId="WW8Num12z0">
    <w:name w:val="WW8Num12z0"/>
    <w:qFormat/>
    <w:rPr>
      <w:rFonts w:ascii="Symbol" w:hAnsi="Symbol" w:cs="Symbol"/>
      <w:sz w:val="20"/>
    </w:rPr>
  </w:style>
  <w:style w:type="character" w:customStyle="1" w:styleId="WW8Num12z1">
    <w:name w:val="WW8Num12z1"/>
    <w:qFormat/>
    <w:rPr>
      <w:rFonts w:ascii="Courier New" w:hAnsi="Courier New" w:cs="Courier New"/>
      <w:sz w:val="20"/>
    </w:rPr>
  </w:style>
  <w:style w:type="character" w:customStyle="1" w:styleId="WW8Num12z2">
    <w:name w:val="WW8Num12z2"/>
    <w:qFormat/>
    <w:rPr>
      <w:rFonts w:ascii="Wingdings" w:hAnsi="Wingdings" w:cs="Wingdings"/>
      <w:sz w:val="20"/>
    </w:rPr>
  </w:style>
  <w:style w:type="character" w:customStyle="1" w:styleId="WW8Num13z0">
    <w:name w:val="WW8Num13z0"/>
    <w:qFormat/>
    <w:rPr>
      <w:rFonts w:ascii="Symbol" w:hAnsi="Symbol" w:cs="Symbol"/>
      <w:sz w:val="20"/>
    </w:rPr>
  </w:style>
  <w:style w:type="character" w:customStyle="1" w:styleId="WW8Num13z1">
    <w:name w:val="WW8Num13z1"/>
    <w:qFormat/>
    <w:rPr>
      <w:rFonts w:ascii="Courier New" w:hAnsi="Courier New" w:cs="Courier New"/>
      <w:sz w:val="20"/>
    </w:rPr>
  </w:style>
  <w:style w:type="character" w:customStyle="1" w:styleId="WW8Num13z2">
    <w:name w:val="WW8Num13z2"/>
    <w:qFormat/>
    <w:rPr>
      <w:rFonts w:ascii="Wingdings" w:hAnsi="Wingdings" w:cs="Wingdings"/>
      <w:sz w:val="20"/>
    </w:rPr>
  </w:style>
  <w:style w:type="character" w:customStyle="1" w:styleId="WW8Num14z0">
    <w:name w:val="WW8Num14z0"/>
    <w:qFormat/>
    <w:rPr>
      <w:rFonts w:ascii="Symbol" w:hAnsi="Symbol" w:cs="Symbol"/>
      <w:sz w:val="20"/>
    </w:rPr>
  </w:style>
  <w:style w:type="character" w:customStyle="1" w:styleId="WW8Num14z1">
    <w:name w:val="WW8Num14z1"/>
    <w:qFormat/>
    <w:rPr>
      <w:rFonts w:ascii="Courier New" w:hAnsi="Courier New" w:cs="Courier New"/>
      <w:sz w:val="20"/>
    </w:rPr>
  </w:style>
  <w:style w:type="character" w:customStyle="1" w:styleId="WW8Num14z2">
    <w:name w:val="WW8Num14z2"/>
    <w:qFormat/>
    <w:rPr>
      <w:rFonts w:ascii="Wingdings" w:hAnsi="Wingdings" w:cs="Wingdings"/>
      <w:sz w:val="20"/>
    </w:rPr>
  </w:style>
  <w:style w:type="character" w:customStyle="1" w:styleId="WW8Num15z0">
    <w:name w:val="WW8Num15z0"/>
    <w:qFormat/>
    <w:rPr>
      <w:rFonts w:ascii="Symbol" w:hAnsi="Symbol" w:cs="Symbol"/>
      <w:sz w:val="20"/>
    </w:rPr>
  </w:style>
  <w:style w:type="character" w:customStyle="1" w:styleId="WW8Num15z1">
    <w:name w:val="WW8Num15z1"/>
    <w:qFormat/>
    <w:rPr>
      <w:rFonts w:ascii="Courier New" w:hAnsi="Courier New" w:cs="Courier New"/>
      <w:sz w:val="20"/>
    </w:rPr>
  </w:style>
  <w:style w:type="character" w:customStyle="1" w:styleId="WW8Num15z2">
    <w:name w:val="WW8Num15z2"/>
    <w:qFormat/>
    <w:rPr>
      <w:rFonts w:ascii="Wingdings" w:hAnsi="Wingdings" w:cs="Wingdings"/>
      <w:sz w:val="20"/>
    </w:rPr>
  </w:style>
  <w:style w:type="character" w:customStyle="1" w:styleId="WW8Num16z0">
    <w:name w:val="WW8Num16z0"/>
    <w:qFormat/>
    <w:rPr>
      <w:rFonts w:ascii="Symbol" w:hAnsi="Symbol" w:cs="Symbol"/>
      <w:sz w:val="20"/>
    </w:rPr>
  </w:style>
  <w:style w:type="character" w:customStyle="1" w:styleId="WW8Num16z1">
    <w:name w:val="WW8Num16z1"/>
    <w:qFormat/>
    <w:rPr>
      <w:rFonts w:ascii="Courier New" w:hAnsi="Courier New" w:cs="Courier New"/>
      <w:sz w:val="20"/>
    </w:rPr>
  </w:style>
  <w:style w:type="character" w:customStyle="1" w:styleId="WW8Num16z2">
    <w:name w:val="WW8Num16z2"/>
    <w:qFormat/>
    <w:rPr>
      <w:rFonts w:ascii="Wingdings" w:hAnsi="Wingdings" w:cs="Wingdings"/>
      <w:sz w:val="20"/>
    </w:rPr>
  </w:style>
  <w:style w:type="character" w:customStyle="1" w:styleId="WW8Num17z0">
    <w:name w:val="WW8Num17z0"/>
    <w:qFormat/>
    <w:rPr>
      <w:rFonts w:ascii="Symbol" w:hAnsi="Symbol" w:cs="Symbol"/>
      <w:sz w:val="20"/>
    </w:rPr>
  </w:style>
  <w:style w:type="character" w:customStyle="1" w:styleId="WW8Num17z1">
    <w:name w:val="WW8Num17z1"/>
    <w:qFormat/>
    <w:rPr>
      <w:rFonts w:ascii="Courier New" w:hAnsi="Courier New" w:cs="Courier New"/>
      <w:sz w:val="20"/>
    </w:rPr>
  </w:style>
  <w:style w:type="character" w:customStyle="1" w:styleId="WW8Num17z2">
    <w:name w:val="WW8Num17z2"/>
    <w:qFormat/>
    <w:rPr>
      <w:rFonts w:ascii="Wingdings" w:hAnsi="Wingdings" w:cs="Wingdings"/>
      <w:sz w:val="20"/>
    </w:rPr>
  </w:style>
  <w:style w:type="character" w:customStyle="1" w:styleId="WW8Num18z0">
    <w:name w:val="WW8Num18z0"/>
    <w:qFormat/>
    <w:rPr>
      <w:rFonts w:ascii="Symbol" w:hAnsi="Symbol" w:cs="Symbol"/>
      <w:sz w:val="20"/>
    </w:rPr>
  </w:style>
  <w:style w:type="character" w:customStyle="1" w:styleId="WW8Num18z1">
    <w:name w:val="WW8Num18z1"/>
    <w:qFormat/>
    <w:rPr>
      <w:rFonts w:ascii="Courier New" w:hAnsi="Courier New" w:cs="Courier New"/>
      <w:sz w:val="20"/>
    </w:rPr>
  </w:style>
  <w:style w:type="character" w:customStyle="1" w:styleId="WW8Num18z2">
    <w:name w:val="WW8Num18z2"/>
    <w:qFormat/>
    <w:rPr>
      <w:rFonts w:ascii="Wingdings" w:hAnsi="Wingdings" w:cs="Wingdings"/>
      <w:sz w:val="20"/>
    </w:rPr>
  </w:style>
  <w:style w:type="character" w:customStyle="1" w:styleId="WW8Num19z0">
    <w:name w:val="WW8Num19z0"/>
    <w:qFormat/>
    <w:rPr>
      <w:rFonts w:ascii="Symbol" w:hAnsi="Symbol" w:cs="Symbol"/>
      <w:sz w:val="20"/>
    </w:rPr>
  </w:style>
  <w:style w:type="character" w:customStyle="1" w:styleId="WW8Num19z1">
    <w:name w:val="WW8Num19z1"/>
    <w:qFormat/>
    <w:rPr>
      <w:rFonts w:ascii="Courier New" w:hAnsi="Courier New" w:cs="Courier New"/>
      <w:sz w:val="20"/>
    </w:rPr>
  </w:style>
  <w:style w:type="character" w:customStyle="1" w:styleId="WW8Num19z2">
    <w:name w:val="WW8Num19z2"/>
    <w:qFormat/>
    <w:rPr>
      <w:rFonts w:ascii="Wingdings" w:hAnsi="Wingdings" w:cs="Wingdings"/>
      <w:sz w:val="20"/>
    </w:rPr>
  </w:style>
  <w:style w:type="character" w:customStyle="1" w:styleId="WW8Num20z0">
    <w:name w:val="WW8Num20z0"/>
    <w:qFormat/>
    <w:rPr>
      <w:rFonts w:ascii="Symbol" w:hAnsi="Symbol" w:cs="Symbol"/>
      <w:sz w:val="20"/>
    </w:rPr>
  </w:style>
  <w:style w:type="character" w:customStyle="1" w:styleId="WW8Num20z1">
    <w:name w:val="WW8Num20z1"/>
    <w:qFormat/>
    <w:rPr>
      <w:rFonts w:ascii="Courier New" w:hAnsi="Courier New" w:cs="Courier New"/>
      <w:sz w:val="20"/>
    </w:rPr>
  </w:style>
  <w:style w:type="character" w:customStyle="1" w:styleId="WW8Num20z2">
    <w:name w:val="WW8Num20z2"/>
    <w:qFormat/>
    <w:rPr>
      <w:rFonts w:ascii="Wingdings" w:hAnsi="Wingdings" w:cs="Wingdings"/>
      <w:sz w:val="20"/>
    </w:rPr>
  </w:style>
  <w:style w:type="character" w:customStyle="1" w:styleId="WW8Num21z0">
    <w:name w:val="WW8Num21z0"/>
    <w:qFormat/>
    <w:rPr>
      <w:rFonts w:ascii="Symbol" w:hAnsi="Symbol" w:cs="Symbol"/>
      <w:sz w:val="20"/>
    </w:rPr>
  </w:style>
  <w:style w:type="character" w:customStyle="1" w:styleId="WW8Num21z1">
    <w:name w:val="WW8Num21z1"/>
    <w:qFormat/>
    <w:rPr>
      <w:rFonts w:ascii="Courier New" w:hAnsi="Courier New" w:cs="Courier New"/>
      <w:sz w:val="20"/>
    </w:rPr>
  </w:style>
  <w:style w:type="character" w:customStyle="1" w:styleId="WW8Num21z2">
    <w:name w:val="WW8Num21z2"/>
    <w:qFormat/>
    <w:rPr>
      <w:rFonts w:ascii="Wingdings" w:hAnsi="Wingdings" w:cs="Wingdings"/>
      <w:sz w:val="20"/>
    </w:rPr>
  </w:style>
  <w:style w:type="character" w:customStyle="1" w:styleId="WW8Num22z0">
    <w:name w:val="WW8Num22z0"/>
    <w:qFormat/>
    <w:rPr>
      <w:rFonts w:ascii="Symbol" w:hAnsi="Symbol" w:cs="Symbol"/>
      <w:sz w:val="20"/>
    </w:rPr>
  </w:style>
  <w:style w:type="character" w:customStyle="1" w:styleId="WW8Num22z1">
    <w:name w:val="WW8Num22z1"/>
    <w:qFormat/>
    <w:rPr>
      <w:rFonts w:ascii="Courier New" w:hAnsi="Courier New" w:cs="Courier New"/>
      <w:sz w:val="20"/>
    </w:rPr>
  </w:style>
  <w:style w:type="character" w:customStyle="1" w:styleId="WW8Num22z2">
    <w:name w:val="WW8Num22z2"/>
    <w:qFormat/>
    <w:rPr>
      <w:rFonts w:ascii="Wingdings" w:hAnsi="Wingdings" w:cs="Wingdings"/>
      <w:sz w:val="20"/>
    </w:rPr>
  </w:style>
  <w:style w:type="character" w:customStyle="1" w:styleId="WW8Num23z0">
    <w:name w:val="WW8Num23z0"/>
    <w:qFormat/>
    <w:rPr>
      <w:rFonts w:ascii="Symbol" w:hAnsi="Symbol" w:cs="Symbol"/>
      <w:sz w:val="20"/>
    </w:rPr>
  </w:style>
  <w:style w:type="character" w:customStyle="1" w:styleId="WW8Num23z1">
    <w:name w:val="WW8Num23z1"/>
    <w:qFormat/>
    <w:rPr>
      <w:rFonts w:ascii="Courier New" w:hAnsi="Courier New" w:cs="Courier New"/>
      <w:sz w:val="20"/>
    </w:rPr>
  </w:style>
  <w:style w:type="character" w:customStyle="1" w:styleId="WW8Num23z2">
    <w:name w:val="WW8Num23z2"/>
    <w:qFormat/>
    <w:rPr>
      <w:rFonts w:ascii="Wingdings" w:hAnsi="Wingdings" w:cs="Wingdings"/>
      <w:sz w:val="20"/>
    </w:rPr>
  </w:style>
  <w:style w:type="character" w:customStyle="1" w:styleId="WW8Num24z0">
    <w:name w:val="WW8Num24z0"/>
    <w:qFormat/>
    <w:rPr>
      <w:rFonts w:ascii="Symbol" w:hAnsi="Symbol" w:cs="Symbol"/>
      <w:sz w:val="20"/>
    </w:rPr>
  </w:style>
  <w:style w:type="character" w:customStyle="1" w:styleId="WW8Num24z1">
    <w:name w:val="WW8Num24z1"/>
    <w:qFormat/>
    <w:rPr>
      <w:rFonts w:ascii="Courier New" w:hAnsi="Courier New" w:cs="Courier New"/>
      <w:sz w:val="20"/>
    </w:rPr>
  </w:style>
  <w:style w:type="character" w:customStyle="1" w:styleId="WW8Num24z2">
    <w:name w:val="WW8Num24z2"/>
    <w:qFormat/>
    <w:rPr>
      <w:rFonts w:ascii="Wingdings" w:hAnsi="Wingdings" w:cs="Wingdings"/>
      <w:sz w:val="20"/>
    </w:rPr>
  </w:style>
  <w:style w:type="character" w:customStyle="1" w:styleId="WW8Num25z0">
    <w:name w:val="WW8Num25z0"/>
    <w:qFormat/>
    <w:rPr>
      <w:rFonts w:ascii="Symbol" w:hAnsi="Symbol" w:cs="Symbol"/>
      <w:sz w:val="20"/>
    </w:rPr>
  </w:style>
  <w:style w:type="character" w:customStyle="1" w:styleId="WW8Num25z1">
    <w:name w:val="WW8Num25z1"/>
    <w:qFormat/>
    <w:rPr>
      <w:rFonts w:ascii="Courier New" w:hAnsi="Courier New" w:cs="Courier New"/>
      <w:sz w:val="20"/>
    </w:rPr>
  </w:style>
  <w:style w:type="character" w:customStyle="1" w:styleId="WW8Num25z2">
    <w:name w:val="WW8Num25z2"/>
    <w:qFormat/>
    <w:rPr>
      <w:rFonts w:ascii="Wingdings" w:hAnsi="Wingdings" w:cs="Wingdings"/>
      <w:sz w:val="20"/>
    </w:rPr>
  </w:style>
  <w:style w:type="character" w:customStyle="1" w:styleId="WW8Num26z0">
    <w:name w:val="WW8Num26z0"/>
    <w:qFormat/>
    <w:rPr>
      <w:rFonts w:ascii="Symbol" w:hAnsi="Symbol" w:cs="Symbol"/>
      <w:sz w:val="20"/>
    </w:rPr>
  </w:style>
  <w:style w:type="character" w:customStyle="1" w:styleId="WW8Num26z1">
    <w:name w:val="WW8Num26z1"/>
    <w:qFormat/>
    <w:rPr>
      <w:rFonts w:ascii="Courier New" w:hAnsi="Courier New" w:cs="Courier New"/>
      <w:sz w:val="20"/>
    </w:rPr>
  </w:style>
  <w:style w:type="character" w:customStyle="1" w:styleId="WW8Num26z2">
    <w:name w:val="WW8Num26z2"/>
    <w:qFormat/>
    <w:rPr>
      <w:rFonts w:ascii="Wingdings" w:hAnsi="Wingdings" w:cs="Wingdings"/>
      <w:sz w:val="20"/>
    </w:rPr>
  </w:style>
  <w:style w:type="character" w:customStyle="1" w:styleId="WW8Num27z0">
    <w:name w:val="WW8Num27z0"/>
    <w:qFormat/>
    <w:rPr>
      <w:rFonts w:ascii="Symbol" w:hAnsi="Symbol" w:cs="Symbol"/>
      <w:sz w:val="20"/>
    </w:rPr>
  </w:style>
  <w:style w:type="character" w:customStyle="1" w:styleId="WW8Num27z1">
    <w:name w:val="WW8Num27z1"/>
    <w:qFormat/>
    <w:rPr>
      <w:rFonts w:ascii="Courier New" w:hAnsi="Courier New" w:cs="Courier New"/>
      <w:sz w:val="20"/>
    </w:rPr>
  </w:style>
  <w:style w:type="character" w:customStyle="1" w:styleId="WW8Num27z2">
    <w:name w:val="WW8Num27z2"/>
    <w:qFormat/>
    <w:rPr>
      <w:rFonts w:ascii="Wingdings" w:hAnsi="Wingdings" w:cs="Wingdings"/>
      <w:sz w:val="20"/>
    </w:rPr>
  </w:style>
  <w:style w:type="character" w:customStyle="1" w:styleId="WW8Num28z0">
    <w:name w:val="WW8Num28z0"/>
    <w:qFormat/>
    <w:rPr>
      <w:rFonts w:ascii="Symbol" w:hAnsi="Symbol" w:cs="Symbol"/>
      <w:sz w:val="20"/>
    </w:rPr>
  </w:style>
  <w:style w:type="character" w:customStyle="1" w:styleId="WW8Num28z1">
    <w:name w:val="WW8Num28z1"/>
    <w:qFormat/>
    <w:rPr>
      <w:rFonts w:ascii="Courier New" w:hAnsi="Courier New" w:cs="Courier New"/>
      <w:sz w:val="20"/>
    </w:rPr>
  </w:style>
  <w:style w:type="character" w:customStyle="1" w:styleId="WW8Num28z2">
    <w:name w:val="WW8Num28z2"/>
    <w:qFormat/>
    <w:rPr>
      <w:rFonts w:ascii="Wingdings" w:hAnsi="Wingdings" w:cs="Wingdings"/>
      <w:sz w:val="20"/>
    </w:rPr>
  </w:style>
  <w:style w:type="character" w:customStyle="1" w:styleId="WW8Num29z0">
    <w:name w:val="WW8Num29z0"/>
    <w:qFormat/>
    <w:rPr>
      <w:rFonts w:ascii="Symbol" w:hAnsi="Symbol" w:cs="Symbol"/>
      <w:sz w:val="20"/>
    </w:rPr>
  </w:style>
  <w:style w:type="character" w:customStyle="1" w:styleId="WW8Num29z1">
    <w:name w:val="WW8Num29z1"/>
    <w:qFormat/>
    <w:rPr>
      <w:rFonts w:ascii="Courier New" w:hAnsi="Courier New" w:cs="Courier New"/>
      <w:sz w:val="20"/>
    </w:rPr>
  </w:style>
  <w:style w:type="character" w:customStyle="1" w:styleId="WW8Num29z2">
    <w:name w:val="WW8Num29z2"/>
    <w:qFormat/>
    <w:rPr>
      <w:rFonts w:ascii="Wingdings" w:hAnsi="Wingdings" w:cs="Wingdings"/>
      <w:sz w:val="20"/>
    </w:rPr>
  </w:style>
  <w:style w:type="character" w:customStyle="1" w:styleId="WW8Num30z0">
    <w:name w:val="WW8Num30z0"/>
    <w:qFormat/>
    <w:rPr>
      <w:rFonts w:ascii="Symbol" w:hAnsi="Symbol" w:cs="Symbol"/>
      <w:sz w:val="20"/>
    </w:rPr>
  </w:style>
  <w:style w:type="character" w:customStyle="1" w:styleId="WW8Num30z1">
    <w:name w:val="WW8Num30z1"/>
    <w:qFormat/>
    <w:rPr>
      <w:rFonts w:ascii="Courier New" w:hAnsi="Courier New" w:cs="Courier New"/>
      <w:sz w:val="20"/>
    </w:rPr>
  </w:style>
  <w:style w:type="character" w:customStyle="1" w:styleId="WW8Num30z2">
    <w:name w:val="WW8Num30z2"/>
    <w:qFormat/>
    <w:rPr>
      <w:rFonts w:ascii="Wingdings" w:hAnsi="Wingdings" w:cs="Wingdings"/>
      <w:sz w:val="20"/>
    </w:rPr>
  </w:style>
  <w:style w:type="character" w:customStyle="1" w:styleId="WW8Num31z0">
    <w:name w:val="WW8Num31z0"/>
    <w:qFormat/>
    <w:rPr>
      <w:rFonts w:ascii="Symbol" w:hAnsi="Symbol" w:cs="Symbol"/>
      <w:sz w:val="20"/>
    </w:rPr>
  </w:style>
  <w:style w:type="character" w:customStyle="1" w:styleId="WW8Num31z1">
    <w:name w:val="WW8Num31z1"/>
    <w:qFormat/>
    <w:rPr>
      <w:rFonts w:ascii="Courier New" w:hAnsi="Courier New" w:cs="Courier New"/>
      <w:sz w:val="20"/>
    </w:rPr>
  </w:style>
  <w:style w:type="character" w:customStyle="1" w:styleId="WW8Num31z2">
    <w:name w:val="WW8Num31z2"/>
    <w:qFormat/>
    <w:rPr>
      <w:rFonts w:ascii="Wingdings" w:hAnsi="Wingdings" w:cs="Wingdings"/>
      <w:sz w:val="20"/>
    </w:rPr>
  </w:style>
  <w:style w:type="character" w:customStyle="1" w:styleId="WW8Num32z0">
    <w:name w:val="WW8Num32z0"/>
    <w:qFormat/>
    <w:rPr>
      <w:rFonts w:ascii="Symbol" w:hAnsi="Symbol" w:cs="Symbol"/>
      <w:sz w:val="20"/>
    </w:rPr>
  </w:style>
  <w:style w:type="character" w:customStyle="1" w:styleId="WW8Num32z1">
    <w:name w:val="WW8Num32z1"/>
    <w:qFormat/>
    <w:rPr>
      <w:rFonts w:ascii="Courier New" w:hAnsi="Courier New" w:cs="Courier New"/>
      <w:sz w:val="20"/>
    </w:rPr>
  </w:style>
  <w:style w:type="character" w:customStyle="1" w:styleId="WW8Num32z2">
    <w:name w:val="WW8Num32z2"/>
    <w:qFormat/>
    <w:rPr>
      <w:rFonts w:ascii="Wingdings" w:hAnsi="Wingdings" w:cs="Wingdings"/>
      <w:sz w:val="20"/>
    </w:rPr>
  </w:style>
  <w:style w:type="character" w:customStyle="1" w:styleId="supratitlu">
    <w:name w:val="supratitlu"/>
    <w:basedOn w:val="DefaultParagraphFont"/>
    <w:qFormat/>
    <w:rPr>
      <w:rFonts w:ascii="Verdana" w:hAnsi="Verdana" w:cs="Verdana"/>
      <w:sz w:val="28"/>
    </w:rPr>
  </w:style>
  <w:style w:type="character" w:customStyle="1" w:styleId="textchiorChar">
    <w:name w:val="text chior Char"/>
    <w:basedOn w:val="DefaultParagraphFont"/>
    <w:qFormat/>
    <w:rPr>
      <w:rFonts w:ascii="Verdana" w:hAnsi="Verdana" w:cs="Verdana"/>
      <w:lang w:bidi="ar-SA"/>
    </w:rPr>
  </w:style>
  <w:style w:type="character" w:customStyle="1" w:styleId="verd10boldChar">
    <w:name w:val="verd 10 bold Char"/>
    <w:basedOn w:val="DefaultParagraphFont"/>
    <w:qFormat/>
    <w:rPr>
      <w:rFonts w:ascii="Verdana" w:hAnsi="Verdana" w:cs="Verdana"/>
      <w:b/>
      <w:lang w:val="ro-RO" w:bidi="ar-SA"/>
    </w:rPr>
  </w:style>
  <w:style w:type="character" w:customStyle="1" w:styleId="verdanaChar">
    <w:name w:val="verdana Char"/>
    <w:basedOn w:val="DefaultParagraphFont"/>
    <w:qFormat/>
    <w:rPr>
      <w:rFonts w:ascii="Verdana" w:hAnsi="Verdana" w:cs="Verdana"/>
      <w:lang w:bidi="ar-SA"/>
    </w:rPr>
  </w:style>
  <w:style w:type="character" w:customStyle="1" w:styleId="paragraf1">
    <w:name w:val="paragraf1"/>
    <w:basedOn w:val="DefaultParagraphFont"/>
    <w:qFormat/>
    <w:rPr>
      <w:shd w:val="clear" w:color="auto" w:fill="auto"/>
    </w:rPr>
  </w:style>
  <w:style w:type="character" w:styleId="Strong">
    <w:name w:val="Strong"/>
    <w:basedOn w:val="DefaultParagraphFont"/>
    <w:qFormat/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Emphasis">
    <w:name w:val="Emphasis"/>
    <w:basedOn w:val="DefaultParagraphFont"/>
    <w:qFormat/>
    <w:rPr>
      <w:i/>
      <w:i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dobipemijloc">
    <w:name w:val="dobi pe mijloc"/>
    <w:basedOn w:val="Normal"/>
    <w:qFormat/>
    <w:pPr>
      <w:jc w:val="center"/>
    </w:pPr>
    <w:rPr>
      <w:rFonts w:ascii="Verdana" w:hAnsi="Verdana" w:cs="Verdana"/>
      <w:sz w:val="20"/>
    </w:rPr>
  </w:style>
  <w:style w:type="paragraph" w:customStyle="1" w:styleId="subtitlu">
    <w:name w:val="subtitlu"/>
    <w:basedOn w:val="Normal"/>
    <w:qFormat/>
    <w:pPr>
      <w:jc w:val="center"/>
    </w:pPr>
    <w:rPr>
      <w:rFonts w:ascii="Verdana" w:hAnsi="Verdana" w:cs="Verdana"/>
      <w:sz w:val="28"/>
      <w:lang w:val="ro-RO"/>
    </w:rPr>
  </w:style>
  <w:style w:type="paragraph" w:customStyle="1" w:styleId="textchior">
    <w:name w:val="text chior"/>
    <w:basedOn w:val="Normal"/>
    <w:qFormat/>
    <w:rPr>
      <w:rFonts w:ascii="Verdana" w:hAnsi="Verdana" w:cs="Verdana"/>
      <w:sz w:val="20"/>
    </w:rPr>
  </w:style>
  <w:style w:type="paragraph" w:customStyle="1" w:styleId="titlu">
    <w:name w:val="titlu"/>
    <w:basedOn w:val="Normal"/>
    <w:qFormat/>
    <w:pPr>
      <w:jc w:val="center"/>
    </w:pPr>
    <w:rPr>
      <w:rFonts w:ascii="Verdana" w:hAnsi="Verdana" w:cs="Verdana"/>
      <w:b/>
      <w:caps/>
      <w:sz w:val="32"/>
      <w:lang w:val="ro-RO"/>
    </w:rPr>
  </w:style>
  <w:style w:type="paragraph" w:customStyle="1" w:styleId="datatitlu">
    <w:name w:val="data titlu"/>
    <w:basedOn w:val="titlu"/>
    <w:qFormat/>
    <w:rPr>
      <w:caps w:val="0"/>
    </w:rPr>
  </w:style>
  <w:style w:type="paragraph" w:customStyle="1" w:styleId="verd10bold">
    <w:name w:val="verd 10 bold"/>
    <w:basedOn w:val="Normal"/>
    <w:qFormat/>
    <w:rPr>
      <w:rFonts w:ascii="Verdana" w:hAnsi="Verdana" w:cs="Verdana"/>
      <w:b/>
      <w:sz w:val="20"/>
      <w:lang w:val="ro-RO"/>
    </w:rPr>
  </w:style>
  <w:style w:type="paragraph" w:customStyle="1" w:styleId="verdana">
    <w:name w:val="verdana"/>
    <w:basedOn w:val="Normal"/>
    <w:qFormat/>
    <w:pPr>
      <w:ind w:firstLine="720"/>
    </w:pPr>
    <w:rPr>
      <w:rFonts w:ascii="Verdana" w:hAnsi="Verdana" w:cs="Verdana"/>
      <w:sz w:val="20"/>
    </w:rPr>
  </w:style>
  <w:style w:type="paragraph" w:styleId="z-TopofForm">
    <w:name w:val="HTML Top of Form"/>
    <w:basedOn w:val="Normal"/>
    <w:next w:val="Normal"/>
    <w:qFormat/>
    <w:pPr>
      <w:pBdr>
        <w:bottom w:val="single" w:sz="6" w:space="1" w:color="000000"/>
      </w:pBdr>
      <w:overflowPunct/>
      <w:autoSpaceDE/>
      <w:jc w:val="center"/>
      <w:textAlignment w:val="auto"/>
    </w:pPr>
    <w:rPr>
      <w:rFonts w:ascii="Arial" w:hAnsi="Arial" w:cs="Arial"/>
      <w:vanish/>
      <w:sz w:val="16"/>
      <w:szCs w:val="16"/>
      <w:lang w:val="ro-RO"/>
    </w:rPr>
  </w:style>
  <w:style w:type="paragraph" w:styleId="z-BottomofForm">
    <w:name w:val="HTML Bottom of Form"/>
    <w:basedOn w:val="Normal"/>
    <w:next w:val="Normal"/>
    <w:qFormat/>
    <w:pPr>
      <w:pBdr>
        <w:top w:val="single" w:sz="6" w:space="1" w:color="000000"/>
      </w:pBdr>
      <w:overflowPunct/>
      <w:autoSpaceDE/>
      <w:jc w:val="center"/>
      <w:textAlignment w:val="auto"/>
    </w:pPr>
    <w:rPr>
      <w:rFonts w:ascii="Arial" w:hAnsi="Arial" w:cs="Arial"/>
      <w:vanish/>
      <w:sz w:val="16"/>
      <w:szCs w:val="16"/>
      <w:lang w:val="ro-RO"/>
    </w:rPr>
  </w:style>
  <w:style w:type="paragraph" w:customStyle="1" w:styleId="yiv6687053565msonormal">
    <w:name w:val="yiv6687053565msonormal"/>
    <w:basedOn w:val="Normal"/>
    <w:qFormat/>
    <w:pPr>
      <w:overflowPunct/>
      <w:autoSpaceDE/>
      <w:spacing w:before="100" w:after="100"/>
      <w:textAlignment w:val="auto"/>
    </w:pPr>
    <w:rPr>
      <w:szCs w:val="24"/>
    </w:rPr>
  </w:style>
  <w:style w:type="paragraph" w:customStyle="1" w:styleId="yiv6687053565">
    <w:name w:val="yiv6687053565"/>
    <w:basedOn w:val="Normal"/>
    <w:qFormat/>
    <w:pPr>
      <w:overflowPunct/>
      <w:autoSpaceDE/>
      <w:spacing w:before="100" w:after="100"/>
      <w:textAlignment w:val="auto"/>
    </w:pPr>
    <w:rPr>
      <w:szCs w:val="24"/>
    </w:rPr>
  </w:style>
  <w:style w:type="paragraph" w:styleId="NormalWeb">
    <w:name w:val="Normal (Web)"/>
    <w:basedOn w:val="Normal"/>
    <w:qFormat/>
    <w:pPr>
      <w:overflowPunct/>
      <w:autoSpaceDE/>
      <w:spacing w:before="100" w:after="100"/>
      <w:textAlignment w:val="auto"/>
    </w:pPr>
    <w:rPr>
      <w:szCs w:val="24"/>
      <w:lang w:val="ro-RO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1290</TotalTime>
  <Pages>3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Decretul nr</dc:title>
  <dc:subject/>
  <dc:creator>1</dc:creator>
  <cp:keywords/>
  <dc:description/>
  <cp:lastModifiedBy>Georgiana</cp:lastModifiedBy>
  <cp:revision>540</cp:revision>
  <cp:lastPrinted>2024-12-10T11:09:00Z</cp:lastPrinted>
  <dcterms:created xsi:type="dcterms:W3CDTF">2013-08-26T09:01:00Z</dcterms:created>
  <dcterms:modified xsi:type="dcterms:W3CDTF">2026-05-08T11:47:00Z</dcterms:modified>
  <dc:language>en-US</dc:language>
</cp:coreProperties>
</file>