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4623" w14:textId="77777777" w:rsidR="00555727" w:rsidRDefault="007E78B7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814BE50" w14:textId="77777777" w:rsidR="00A95815" w:rsidRPr="00A95815" w:rsidRDefault="00A95815" w:rsidP="00A95815">
      <w:pPr>
        <w:pStyle w:val="Heading1"/>
        <w:jc w:val="center"/>
        <w:rPr>
          <w:rStyle w:val="Strong"/>
          <w:rFonts w:ascii="Times New Roman" w:hAnsi="Times New Roman" w:cs="Times New Roman"/>
          <w:bCs w:val="0"/>
        </w:rPr>
      </w:pPr>
    </w:p>
    <w:p w14:paraId="02EF831C" w14:textId="477860EF" w:rsidR="00555727" w:rsidRPr="00A95815" w:rsidRDefault="007E78B7" w:rsidP="00A95815">
      <w:pPr>
        <w:pStyle w:val="Heading1"/>
        <w:jc w:val="center"/>
        <w:rPr>
          <w:rFonts w:ascii="Times New Roman" w:hAnsi="Times New Roman" w:cs="Times New Roman"/>
          <w:b w:val="0"/>
        </w:rPr>
      </w:pPr>
      <w:r w:rsidRPr="00A95815">
        <w:rPr>
          <w:rStyle w:val="Strong"/>
          <w:rFonts w:ascii="Times New Roman" w:hAnsi="Times New Roman" w:cs="Times New Roman"/>
          <w:b/>
        </w:rPr>
        <w:t xml:space="preserve">PLAN ANUAL DE AUDIT FISCAL </w:t>
      </w:r>
    </w:p>
    <w:p w14:paraId="53870166" w14:textId="77777777" w:rsidR="00555727" w:rsidRDefault="00555727">
      <w:pPr>
        <w:pStyle w:val="Heading2"/>
        <w:rPr>
          <w:rStyle w:val="Strong"/>
          <w:bCs w:val="0"/>
        </w:rPr>
      </w:pPr>
    </w:p>
    <w:p w14:paraId="7D4D7A0C" w14:textId="77777777" w:rsidR="00555727" w:rsidRPr="00A95815" w:rsidRDefault="007E78B7">
      <w:pPr>
        <w:pStyle w:val="Heading2"/>
        <w:rPr>
          <w:i w:val="0"/>
          <w:iCs/>
        </w:rPr>
      </w:pPr>
      <w:r w:rsidRPr="00A95815">
        <w:rPr>
          <w:rStyle w:val="Strong"/>
          <w:bCs w:val="0"/>
          <w:i w:val="0"/>
          <w:iCs/>
        </w:rPr>
        <w:t>ANTET</w:t>
      </w:r>
    </w:p>
    <w:p w14:paraId="20500FF4" w14:textId="77777777" w:rsidR="00555727" w:rsidRDefault="007E78B7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</w:t>
      </w:r>
    </w:p>
    <w:p w14:paraId="3A80C534" w14:textId="61EF28E4" w:rsidR="00555727" w:rsidRDefault="007E78B7">
      <w:pPr>
        <w:pStyle w:val="NormalWeb"/>
      </w:pPr>
      <w:r>
        <w:rPr>
          <w:rStyle w:val="Strong"/>
        </w:rPr>
        <w:t>Document:</w:t>
      </w:r>
      <w:r>
        <w:t xml:space="preserve"> Plan anual de audit fiscal</w:t>
      </w:r>
      <w:r>
        <w:br/>
      </w:r>
      <w:r>
        <w:rPr>
          <w:rStyle w:val="Strong"/>
        </w:rPr>
        <w:t>An:</w:t>
      </w:r>
      <w:r>
        <w:br/>
      </w:r>
      <w:r>
        <w:rPr>
          <w:rStyle w:val="Strong"/>
        </w:rPr>
        <w:t>Aprobat de Administrator:</w:t>
      </w:r>
      <w:r>
        <w:t xml:space="preserve"> ..................................................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........................................................</w:t>
      </w:r>
    </w:p>
    <w:p w14:paraId="791A3341" w14:textId="77777777" w:rsidR="00555727" w:rsidRDefault="00555727">
      <w:pPr>
        <w:pStyle w:val="Heading2"/>
        <w:rPr>
          <w:rStyle w:val="Strong"/>
          <w:bCs w:val="0"/>
        </w:rPr>
      </w:pPr>
    </w:p>
    <w:p w14:paraId="7D2D3CDF" w14:textId="77777777" w:rsidR="00555727" w:rsidRPr="00A95815" w:rsidRDefault="007E78B7">
      <w:pPr>
        <w:pStyle w:val="Heading2"/>
        <w:rPr>
          <w:b w:val="0"/>
          <w:i w:val="0"/>
          <w:iCs/>
        </w:rPr>
      </w:pPr>
      <w:r w:rsidRPr="00A95815">
        <w:rPr>
          <w:rStyle w:val="Strong"/>
          <w:b/>
          <w:i w:val="0"/>
          <w:iCs/>
        </w:rPr>
        <w:t>1. Scopul planului anual de audit fiscal</w:t>
      </w:r>
    </w:p>
    <w:p w14:paraId="4B852561" w14:textId="77777777" w:rsidR="00555727" w:rsidRDefault="007E78B7">
      <w:pPr>
        <w:pStyle w:val="NormalWeb"/>
      </w:pPr>
      <w:r>
        <w:t xml:space="preserve">Planul anual de audit fiscal stabilește </w:t>
      </w:r>
      <w:r>
        <w:rPr>
          <w:rStyle w:val="Strong"/>
        </w:rPr>
        <w:t>verificările fiscale interne planificate pentru anul 2026</w:t>
      </w:r>
      <w:r>
        <w:t>, având ca obiectiv:</w:t>
      </w:r>
    </w:p>
    <w:p w14:paraId="4DF7E982" w14:textId="77777777" w:rsidR="00555727" w:rsidRDefault="007E78B7">
      <w:pPr>
        <w:pStyle w:val="NormalWeb"/>
        <w:numPr>
          <w:ilvl w:val="0"/>
          <w:numId w:val="2"/>
        </w:numPr>
      </w:pPr>
      <w:r>
        <w:t>identificarea din timp a riscurilor fiscale;</w:t>
      </w:r>
    </w:p>
    <w:p w14:paraId="3AC5EFF3" w14:textId="77777777" w:rsidR="00555727" w:rsidRDefault="007E78B7">
      <w:pPr>
        <w:pStyle w:val="NormalWeb"/>
        <w:numPr>
          <w:ilvl w:val="0"/>
          <w:numId w:val="2"/>
        </w:numPr>
      </w:pPr>
      <w:r>
        <w:t>prevenirea ajustărilor la control ANAF;</w:t>
      </w:r>
    </w:p>
    <w:p w14:paraId="5693214E" w14:textId="77777777" w:rsidR="00555727" w:rsidRDefault="007E78B7">
      <w:pPr>
        <w:pStyle w:val="NormalWeb"/>
        <w:numPr>
          <w:ilvl w:val="0"/>
          <w:numId w:val="2"/>
        </w:numPr>
      </w:pPr>
      <w:r>
        <w:t>verificarea conformității declarațiilor și evidențelor fiscale;</w:t>
      </w:r>
    </w:p>
    <w:p w14:paraId="657199FB" w14:textId="77777777" w:rsidR="00555727" w:rsidRDefault="007E78B7">
      <w:pPr>
        <w:pStyle w:val="NormalWeb"/>
        <w:numPr>
          <w:ilvl w:val="0"/>
          <w:numId w:val="2"/>
        </w:numPr>
      </w:pPr>
      <w:r>
        <w:t>susținerea responsabilității administratorului;</w:t>
      </w:r>
    </w:p>
    <w:p w14:paraId="522D1A8F" w14:textId="77777777" w:rsidR="00555727" w:rsidRDefault="007E78B7">
      <w:pPr>
        <w:pStyle w:val="NormalWeb"/>
        <w:numPr>
          <w:ilvl w:val="0"/>
          <w:numId w:val="2"/>
        </w:numPr>
      </w:pPr>
      <w:r>
        <w:t>îmbunătățirea continuă a controlului intern fiscal.</w:t>
      </w:r>
    </w:p>
    <w:p w14:paraId="2760BAC4" w14:textId="77777777" w:rsidR="00555727" w:rsidRDefault="00555727">
      <w:pPr>
        <w:pStyle w:val="Heading2"/>
        <w:rPr>
          <w:rStyle w:val="Strong"/>
          <w:bCs w:val="0"/>
        </w:rPr>
      </w:pPr>
    </w:p>
    <w:p w14:paraId="44E9AA60" w14:textId="77777777" w:rsidR="00555727" w:rsidRPr="007E78B7" w:rsidRDefault="007E78B7">
      <w:pPr>
        <w:pStyle w:val="Heading2"/>
        <w:rPr>
          <w:b w:val="0"/>
          <w:i w:val="0"/>
          <w:iCs/>
        </w:rPr>
      </w:pPr>
      <w:r w:rsidRPr="007E78B7">
        <w:rPr>
          <w:rStyle w:val="Strong"/>
          <w:b/>
          <w:i w:val="0"/>
          <w:iCs/>
        </w:rPr>
        <w:t>2. Principii de planificare</w:t>
      </w:r>
    </w:p>
    <w:p w14:paraId="5339EF0E" w14:textId="77777777" w:rsidR="00555727" w:rsidRDefault="007E78B7">
      <w:pPr>
        <w:pStyle w:val="NormalWeb"/>
      </w:pPr>
      <w:r>
        <w:t>Planul este construit pe baza:</w:t>
      </w:r>
    </w:p>
    <w:p w14:paraId="7094BF2E" w14:textId="77777777" w:rsidR="00555727" w:rsidRDefault="007E78B7">
      <w:pPr>
        <w:pStyle w:val="NormalWeb"/>
        <w:numPr>
          <w:ilvl w:val="0"/>
          <w:numId w:val="6"/>
        </w:numPr>
      </w:pPr>
      <w:r>
        <w:t>analizei de risc fiscal;</w:t>
      </w:r>
    </w:p>
    <w:p w14:paraId="15773269" w14:textId="77777777" w:rsidR="00555727" w:rsidRDefault="007E78B7">
      <w:pPr>
        <w:pStyle w:val="NormalWeb"/>
        <w:numPr>
          <w:ilvl w:val="0"/>
          <w:numId w:val="6"/>
        </w:numPr>
      </w:pPr>
      <w:r>
        <w:t>experienței controalelor anterioare;</w:t>
      </w:r>
    </w:p>
    <w:p w14:paraId="18D5B2CD" w14:textId="77777777" w:rsidR="00555727" w:rsidRDefault="007E78B7">
      <w:pPr>
        <w:pStyle w:val="NormalWeb"/>
        <w:numPr>
          <w:ilvl w:val="0"/>
          <w:numId w:val="6"/>
        </w:numPr>
      </w:pPr>
      <w:r>
        <w:t>modificărilor legislative (e-Factura, TVA, micro);</w:t>
      </w:r>
    </w:p>
    <w:p w14:paraId="59390EFB" w14:textId="77777777" w:rsidR="00555727" w:rsidRDefault="007E78B7">
      <w:pPr>
        <w:pStyle w:val="NormalWeb"/>
        <w:numPr>
          <w:ilvl w:val="0"/>
          <w:numId w:val="6"/>
        </w:numPr>
      </w:pPr>
      <w:r>
        <w:t>importanței financiare a impozitelor.</w:t>
      </w:r>
    </w:p>
    <w:p w14:paraId="7D0088F9" w14:textId="306DD1D3" w:rsidR="00555727" w:rsidRPr="007E78B7" w:rsidRDefault="007E78B7">
      <w:pPr>
        <w:pStyle w:val="NormalWeb"/>
        <w:rPr>
          <w:i/>
          <w:iCs/>
        </w:rPr>
      </w:pPr>
      <w:r w:rsidRPr="007E78B7">
        <w:rPr>
          <w:rStyle w:val="Strong"/>
          <w:i/>
          <w:iCs/>
        </w:rPr>
        <w:t>2026:</w:t>
      </w:r>
      <w:r w:rsidRPr="007E78B7">
        <w:rPr>
          <w:i/>
          <w:iCs/>
        </w:rPr>
        <w:br/>
        <w:t xml:space="preserve">TVA, e-Factura și regimul micro sunt zone </w:t>
      </w:r>
      <w:r w:rsidRPr="007E78B7">
        <w:rPr>
          <w:rStyle w:val="Strong"/>
          <w:i/>
          <w:iCs/>
        </w:rPr>
        <w:t>cu prioritate maximă</w:t>
      </w:r>
      <w:r w:rsidRPr="007E78B7">
        <w:rPr>
          <w:i/>
          <w:iCs/>
        </w:rPr>
        <w:t>.</w:t>
      </w:r>
    </w:p>
    <w:p w14:paraId="1893B7D6" w14:textId="77777777" w:rsidR="00555727" w:rsidRDefault="00555727">
      <w:pPr>
        <w:pStyle w:val="Heading2"/>
        <w:rPr>
          <w:rStyle w:val="Strong"/>
          <w:bCs w:val="0"/>
        </w:rPr>
      </w:pPr>
    </w:p>
    <w:p w14:paraId="76005E7C" w14:textId="77777777" w:rsidR="00555727" w:rsidRPr="007E78B7" w:rsidRDefault="007E78B7">
      <w:pPr>
        <w:pStyle w:val="Heading2"/>
        <w:rPr>
          <w:b w:val="0"/>
          <w:i w:val="0"/>
          <w:iCs/>
        </w:rPr>
      </w:pPr>
      <w:r w:rsidRPr="007E78B7">
        <w:rPr>
          <w:rStyle w:val="Strong"/>
          <w:b/>
          <w:i w:val="0"/>
          <w:iCs/>
        </w:rPr>
        <w:t>3. Aria auditată</w:t>
      </w:r>
    </w:p>
    <w:p w14:paraId="0735C1C6" w14:textId="77777777" w:rsidR="00555727" w:rsidRDefault="007E78B7">
      <w:pPr>
        <w:pStyle w:val="NormalWeb"/>
      </w:pPr>
      <w:r>
        <w:t xml:space="preserve">Auditul fiscal intern </w:t>
      </w:r>
      <w:r>
        <w:t>acoperă:</w:t>
      </w:r>
    </w:p>
    <w:p w14:paraId="34576CD2" w14:textId="77777777" w:rsidR="00555727" w:rsidRDefault="007E78B7">
      <w:pPr>
        <w:pStyle w:val="NormalWeb"/>
        <w:numPr>
          <w:ilvl w:val="0"/>
          <w:numId w:val="5"/>
        </w:numPr>
      </w:pPr>
      <w:r>
        <w:t>TVA și e-Factura;</w:t>
      </w:r>
    </w:p>
    <w:p w14:paraId="18F68E5B" w14:textId="77777777" w:rsidR="00555727" w:rsidRDefault="007E78B7">
      <w:pPr>
        <w:pStyle w:val="NormalWeb"/>
        <w:numPr>
          <w:ilvl w:val="0"/>
          <w:numId w:val="5"/>
        </w:numPr>
      </w:pPr>
      <w:r>
        <w:t>declarații fiscale;</w:t>
      </w:r>
    </w:p>
    <w:p w14:paraId="45BFF946" w14:textId="77777777" w:rsidR="00555727" w:rsidRDefault="007E78B7">
      <w:pPr>
        <w:pStyle w:val="NormalWeb"/>
        <w:numPr>
          <w:ilvl w:val="0"/>
          <w:numId w:val="5"/>
        </w:numPr>
      </w:pPr>
      <w:r>
        <w:t>deductibilitatea cheltuielilor;</w:t>
      </w:r>
    </w:p>
    <w:p w14:paraId="70CABF74" w14:textId="77777777" w:rsidR="00555727" w:rsidRDefault="007E78B7">
      <w:pPr>
        <w:pStyle w:val="NormalWeb"/>
        <w:numPr>
          <w:ilvl w:val="0"/>
          <w:numId w:val="5"/>
        </w:numPr>
      </w:pPr>
      <w:r>
        <w:t>impozit micro / profit;</w:t>
      </w:r>
    </w:p>
    <w:p w14:paraId="2D1FBADB" w14:textId="77777777" w:rsidR="00555727" w:rsidRDefault="007E78B7">
      <w:pPr>
        <w:pStyle w:val="NormalWeb"/>
        <w:numPr>
          <w:ilvl w:val="0"/>
          <w:numId w:val="5"/>
        </w:numPr>
      </w:pPr>
      <w:r>
        <w:t>salarii și contribuții;</w:t>
      </w:r>
    </w:p>
    <w:p w14:paraId="355024D2" w14:textId="77777777" w:rsidR="00555727" w:rsidRDefault="007E78B7">
      <w:pPr>
        <w:pStyle w:val="NormalWeb"/>
        <w:numPr>
          <w:ilvl w:val="0"/>
          <w:numId w:val="5"/>
        </w:numPr>
      </w:pPr>
      <w:r>
        <w:t>active și amortizări;</w:t>
      </w:r>
    </w:p>
    <w:p w14:paraId="5EA16E25" w14:textId="77777777" w:rsidR="00555727" w:rsidRDefault="007E78B7">
      <w:pPr>
        <w:pStyle w:val="NormalWeb"/>
        <w:numPr>
          <w:ilvl w:val="0"/>
          <w:numId w:val="5"/>
        </w:numPr>
      </w:pPr>
      <w:r>
        <w:t>audit fiscal general.</w:t>
      </w:r>
    </w:p>
    <w:p w14:paraId="720B63D2" w14:textId="77777777" w:rsidR="00555727" w:rsidRDefault="00555727">
      <w:pPr>
        <w:pStyle w:val="Heading2"/>
        <w:rPr>
          <w:rStyle w:val="Strong"/>
          <w:bCs w:val="0"/>
        </w:rPr>
      </w:pPr>
    </w:p>
    <w:p w14:paraId="3A015C16" w14:textId="77777777" w:rsidR="00555727" w:rsidRPr="007E78B7" w:rsidRDefault="007E78B7">
      <w:pPr>
        <w:pStyle w:val="Heading2"/>
        <w:rPr>
          <w:b w:val="0"/>
          <w:i w:val="0"/>
          <w:iCs/>
        </w:rPr>
      </w:pPr>
      <w:r w:rsidRPr="007E78B7">
        <w:rPr>
          <w:rStyle w:val="Strong"/>
          <w:b/>
          <w:i w:val="0"/>
          <w:iCs/>
        </w:rPr>
        <w:t>4. Frecvența auditurilor</w:t>
      </w:r>
    </w:p>
    <w:tbl>
      <w:tblPr>
        <w:tblW w:w="4165" w:type="dxa"/>
        <w:tblLayout w:type="fixed"/>
        <w:tblLook w:val="0000" w:firstRow="0" w:lastRow="0" w:firstColumn="0" w:lastColumn="0" w:noHBand="0" w:noVBand="0"/>
      </w:tblPr>
      <w:tblGrid>
        <w:gridCol w:w="2109"/>
        <w:gridCol w:w="2056"/>
      </w:tblGrid>
      <w:tr w:rsidR="00555727" w14:paraId="0DF3B48C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87F0" w14:textId="77777777" w:rsidR="00555727" w:rsidRDefault="007E78B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Tip audit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FB20" w14:textId="77777777" w:rsidR="00555727" w:rsidRDefault="007E78B7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Frecvență</w:t>
            </w:r>
            <w:proofErr w:type="spellEnd"/>
          </w:p>
        </w:tc>
      </w:tr>
      <w:tr w:rsidR="00555727" w14:paraId="4F04E38C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21FE" w14:textId="77777777" w:rsidR="00555727" w:rsidRDefault="007E78B7">
            <w:pPr>
              <w:rPr>
                <w:szCs w:val="24"/>
              </w:rPr>
            </w:pPr>
            <w:r>
              <w:t>TVA &amp; e-Factura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03E3" w14:textId="77777777" w:rsidR="00555727" w:rsidRDefault="007E78B7">
            <w:pPr>
              <w:rPr>
                <w:szCs w:val="24"/>
              </w:rPr>
            </w:pPr>
            <w:proofErr w:type="spellStart"/>
            <w:r>
              <w:t>Trimestrial</w:t>
            </w:r>
            <w:proofErr w:type="spellEnd"/>
          </w:p>
        </w:tc>
      </w:tr>
      <w:tr w:rsidR="00555727" w14:paraId="0A8EB612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41A9" w14:textId="77777777" w:rsidR="00555727" w:rsidRDefault="007E78B7">
            <w:pPr>
              <w:rPr>
                <w:szCs w:val="24"/>
              </w:rPr>
            </w:pPr>
            <w:proofErr w:type="spellStart"/>
            <w:r>
              <w:t>Declarații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507" w14:textId="77777777" w:rsidR="00555727" w:rsidRDefault="007E78B7">
            <w:pPr>
              <w:rPr>
                <w:szCs w:val="24"/>
              </w:rPr>
            </w:pPr>
            <w:proofErr w:type="spellStart"/>
            <w:r>
              <w:t>Trimestrial</w:t>
            </w:r>
            <w:proofErr w:type="spellEnd"/>
          </w:p>
        </w:tc>
      </w:tr>
      <w:tr w:rsidR="00555727" w14:paraId="0034E227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9301" w14:textId="77777777" w:rsidR="00555727" w:rsidRDefault="007E78B7">
            <w:pPr>
              <w:rPr>
                <w:szCs w:val="24"/>
              </w:rPr>
            </w:pPr>
            <w:r>
              <w:t>Micro / Profit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543" w14:textId="77777777" w:rsidR="00555727" w:rsidRDefault="007E78B7">
            <w:pPr>
              <w:rPr>
                <w:szCs w:val="24"/>
              </w:rPr>
            </w:pPr>
            <w:proofErr w:type="spellStart"/>
            <w:r>
              <w:t>Trimestrial</w:t>
            </w:r>
            <w:proofErr w:type="spellEnd"/>
            <w:r>
              <w:t xml:space="preserve"> / </w:t>
            </w:r>
            <w:proofErr w:type="spellStart"/>
            <w:r>
              <w:t>Anual</w:t>
            </w:r>
            <w:proofErr w:type="spellEnd"/>
          </w:p>
        </w:tc>
      </w:tr>
      <w:tr w:rsidR="00555727" w14:paraId="2DF47060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983C" w14:textId="77777777" w:rsidR="00555727" w:rsidRDefault="007E78B7">
            <w:pPr>
              <w:rPr>
                <w:szCs w:val="24"/>
              </w:rPr>
            </w:pPr>
            <w:proofErr w:type="spellStart"/>
            <w:r>
              <w:t>Deductibilități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3C5" w14:textId="77777777" w:rsidR="00555727" w:rsidRDefault="007E78B7">
            <w:pPr>
              <w:rPr>
                <w:szCs w:val="24"/>
              </w:rPr>
            </w:pPr>
            <w:proofErr w:type="spellStart"/>
            <w:r>
              <w:t>Anual</w:t>
            </w:r>
            <w:proofErr w:type="spellEnd"/>
          </w:p>
        </w:tc>
      </w:tr>
      <w:tr w:rsidR="00555727" w14:paraId="4EC923B1" w14:textId="77777777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6B8" w14:textId="77777777" w:rsidR="00555727" w:rsidRDefault="007E78B7">
            <w:pPr>
              <w:rPr>
                <w:szCs w:val="24"/>
              </w:rPr>
            </w:pPr>
            <w:r>
              <w:t>Audit fiscal general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B24" w14:textId="77777777" w:rsidR="00555727" w:rsidRDefault="007E78B7">
            <w:pPr>
              <w:rPr>
                <w:szCs w:val="24"/>
              </w:rPr>
            </w:pPr>
            <w:proofErr w:type="spellStart"/>
            <w:r>
              <w:t>Anual</w:t>
            </w:r>
            <w:proofErr w:type="spellEnd"/>
          </w:p>
        </w:tc>
      </w:tr>
    </w:tbl>
    <w:p w14:paraId="156B1F4F" w14:textId="77777777" w:rsidR="00555727" w:rsidRDefault="00555727">
      <w:pPr>
        <w:pStyle w:val="Heading2"/>
        <w:rPr>
          <w:rStyle w:val="Strong"/>
          <w:bCs w:val="0"/>
        </w:rPr>
      </w:pPr>
    </w:p>
    <w:p w14:paraId="499CE3A7" w14:textId="77777777" w:rsidR="00555727" w:rsidRPr="007E78B7" w:rsidRDefault="007E78B7">
      <w:pPr>
        <w:pStyle w:val="Heading2"/>
        <w:rPr>
          <w:b w:val="0"/>
          <w:i w:val="0"/>
          <w:iCs/>
        </w:rPr>
      </w:pPr>
      <w:r w:rsidRPr="007E78B7">
        <w:rPr>
          <w:rStyle w:val="Strong"/>
          <w:b/>
          <w:i w:val="0"/>
          <w:iCs/>
        </w:rPr>
        <w:t>5. Responsabilități</w:t>
      </w:r>
    </w:p>
    <w:p w14:paraId="22D66239" w14:textId="77777777" w:rsidR="00555727" w:rsidRDefault="007E78B7">
      <w:pPr>
        <w:pStyle w:val="NormalWeb"/>
        <w:numPr>
          <w:ilvl w:val="0"/>
          <w:numId w:val="4"/>
        </w:numPr>
      </w:pPr>
      <w:r>
        <w:rPr>
          <w:rStyle w:val="Strong"/>
        </w:rPr>
        <w:t>Administratorul</w:t>
      </w:r>
      <w:r>
        <w:t>: aprobă planul, analizează rezultatele</w:t>
      </w:r>
    </w:p>
    <w:p w14:paraId="1582F568" w14:textId="77777777" w:rsidR="00555727" w:rsidRDefault="007E78B7">
      <w:pPr>
        <w:pStyle w:val="NormalWeb"/>
        <w:numPr>
          <w:ilvl w:val="0"/>
          <w:numId w:val="4"/>
        </w:numPr>
      </w:pPr>
      <w:r>
        <w:rPr>
          <w:rStyle w:val="Strong"/>
        </w:rPr>
        <w:t>Responsabil fiscal / auditor intern</w:t>
      </w:r>
      <w:r>
        <w:t>: execută auditul</w:t>
      </w:r>
    </w:p>
    <w:p w14:paraId="5C0D624F" w14:textId="77777777" w:rsidR="00555727" w:rsidRDefault="007E78B7">
      <w:pPr>
        <w:pStyle w:val="NormalWeb"/>
        <w:numPr>
          <w:ilvl w:val="0"/>
          <w:numId w:val="4"/>
        </w:numPr>
      </w:pPr>
      <w:r>
        <w:rPr>
          <w:rStyle w:val="Strong"/>
        </w:rPr>
        <w:t>Financiar-contabil</w:t>
      </w:r>
      <w:r>
        <w:t>: pune la dispoziție documentele</w:t>
      </w:r>
    </w:p>
    <w:p w14:paraId="08814E23" w14:textId="77777777" w:rsidR="00555727" w:rsidRDefault="00555727">
      <w:pPr>
        <w:pStyle w:val="Heading2"/>
        <w:rPr>
          <w:rStyle w:val="Strong"/>
          <w:bCs w:val="0"/>
        </w:rPr>
      </w:pPr>
    </w:p>
    <w:p w14:paraId="639F5B98" w14:textId="77777777" w:rsidR="00555727" w:rsidRPr="007E78B7" w:rsidRDefault="007E78B7">
      <w:pPr>
        <w:pStyle w:val="Heading2"/>
        <w:rPr>
          <w:b w:val="0"/>
          <w:i w:val="0"/>
          <w:iCs/>
        </w:rPr>
      </w:pPr>
      <w:r w:rsidRPr="007E78B7">
        <w:rPr>
          <w:rStyle w:val="Strong"/>
          <w:b/>
          <w:i w:val="0"/>
          <w:iCs/>
        </w:rPr>
        <w:t>6. Monitorizare și raportare</w:t>
      </w:r>
    </w:p>
    <w:p w14:paraId="7389CFF9" w14:textId="77777777" w:rsidR="00555727" w:rsidRDefault="007E78B7">
      <w:pPr>
        <w:pStyle w:val="NormalWeb"/>
      </w:pPr>
      <w:r>
        <w:t>Rezultatele fiecărui audit sunt documentate prin:</w:t>
      </w:r>
    </w:p>
    <w:p w14:paraId="08FC8A08" w14:textId="77777777" w:rsidR="00555727" w:rsidRDefault="007E78B7">
      <w:pPr>
        <w:pStyle w:val="NormalWeb"/>
        <w:numPr>
          <w:ilvl w:val="0"/>
          <w:numId w:val="3"/>
        </w:numPr>
      </w:pPr>
      <w:r>
        <w:t>raport de audit fiscal intern;</w:t>
      </w:r>
    </w:p>
    <w:p w14:paraId="5B481113" w14:textId="77777777" w:rsidR="00555727" w:rsidRDefault="007E78B7">
      <w:pPr>
        <w:pStyle w:val="NormalWeb"/>
        <w:numPr>
          <w:ilvl w:val="0"/>
          <w:numId w:val="3"/>
        </w:numPr>
      </w:pPr>
      <w:r>
        <w:t>registru de neconformități;</w:t>
      </w:r>
    </w:p>
    <w:p w14:paraId="76C3DA45" w14:textId="77777777" w:rsidR="00555727" w:rsidRDefault="007E78B7">
      <w:pPr>
        <w:pStyle w:val="NormalWeb"/>
        <w:numPr>
          <w:ilvl w:val="0"/>
          <w:numId w:val="3"/>
        </w:numPr>
      </w:pPr>
      <w:r>
        <w:t>plan de măsuri.</w:t>
      </w:r>
    </w:p>
    <w:p w14:paraId="52997723" w14:textId="77777777" w:rsidR="00555727" w:rsidRDefault="00555727">
      <w:pPr>
        <w:pStyle w:val="Heading2"/>
        <w:rPr>
          <w:rStyle w:val="Strong"/>
          <w:bCs w:val="0"/>
        </w:rPr>
      </w:pPr>
    </w:p>
    <w:p w14:paraId="647C4D1C" w14:textId="77777777" w:rsidR="00555727" w:rsidRPr="007E78B7" w:rsidRDefault="007E78B7">
      <w:pPr>
        <w:pStyle w:val="Heading2"/>
        <w:rPr>
          <w:b w:val="0"/>
          <w:i w:val="0"/>
          <w:iCs/>
        </w:rPr>
      </w:pPr>
      <w:r w:rsidRPr="007E78B7">
        <w:rPr>
          <w:rStyle w:val="Strong"/>
          <w:b/>
          <w:i w:val="0"/>
          <w:iCs/>
        </w:rPr>
        <w:t>7. Revizuirea planului</w:t>
      </w:r>
    </w:p>
    <w:p w14:paraId="0FA70B62" w14:textId="77777777" w:rsidR="00555727" w:rsidRDefault="007E78B7">
      <w:pPr>
        <w:pStyle w:val="NormalWeb"/>
      </w:pPr>
      <w:r>
        <w:t xml:space="preserve">Planul poate fi </w:t>
      </w:r>
      <w:r>
        <w:t>actualizat:</w:t>
      </w:r>
    </w:p>
    <w:p w14:paraId="166C6AC6" w14:textId="77777777" w:rsidR="00555727" w:rsidRDefault="007E78B7">
      <w:pPr>
        <w:pStyle w:val="NormalWeb"/>
        <w:numPr>
          <w:ilvl w:val="0"/>
          <w:numId w:val="7"/>
        </w:numPr>
      </w:pPr>
      <w:r>
        <w:t>la modificări legislative;</w:t>
      </w:r>
    </w:p>
    <w:p w14:paraId="5848DBEF" w14:textId="77777777" w:rsidR="00555727" w:rsidRDefault="007E78B7">
      <w:pPr>
        <w:pStyle w:val="NormalWeb"/>
        <w:numPr>
          <w:ilvl w:val="0"/>
          <w:numId w:val="7"/>
        </w:numPr>
      </w:pPr>
      <w:r>
        <w:t>la apariția unor riscuri noi;</w:t>
      </w:r>
    </w:p>
    <w:p w14:paraId="7E2A4DE4" w14:textId="77777777" w:rsidR="00555727" w:rsidRDefault="007E78B7">
      <w:pPr>
        <w:pStyle w:val="NormalWeb"/>
        <w:numPr>
          <w:ilvl w:val="0"/>
          <w:numId w:val="7"/>
        </w:numPr>
      </w:pPr>
      <w:r>
        <w:t>la solicitarea administratorului.</w:t>
      </w:r>
    </w:p>
    <w:p w14:paraId="37FB1D83" w14:textId="77777777" w:rsidR="00555727" w:rsidRDefault="00555727">
      <w:pPr>
        <w:pStyle w:val="NormalWeb"/>
        <w:rPr>
          <w:rStyle w:val="Strong"/>
        </w:rPr>
      </w:pPr>
    </w:p>
    <w:p w14:paraId="37A803D5" w14:textId="77777777" w:rsidR="00555727" w:rsidRDefault="007E78B7">
      <w:pPr>
        <w:pStyle w:val="NormalWeb"/>
      </w:pPr>
      <w:r>
        <w:rPr>
          <w:rStyle w:val="Strong"/>
        </w:rPr>
        <w:t>Semnătura Administratorului:</w:t>
      </w:r>
      <w:r>
        <w:t xml:space="preserve"> ______________________</w:t>
      </w:r>
      <w:r>
        <w:br/>
      </w:r>
      <w:r>
        <w:rPr>
          <w:rStyle w:val="Strong"/>
        </w:rPr>
        <w:t>Data:</w:t>
      </w:r>
      <w:r>
        <w:t xml:space="preserve"> ______________________</w:t>
      </w:r>
    </w:p>
    <w:p w14:paraId="43A7C2AB" w14:textId="77777777" w:rsidR="00555727" w:rsidRDefault="00555727"/>
    <w:sectPr w:rsidR="00555727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953"/>
    <w:multiLevelType w:val="multilevel"/>
    <w:tmpl w:val="35C2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B7D7BF2"/>
    <w:multiLevelType w:val="multilevel"/>
    <w:tmpl w:val="827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13A22E9"/>
    <w:multiLevelType w:val="multilevel"/>
    <w:tmpl w:val="10DE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E8E73A0"/>
    <w:multiLevelType w:val="multilevel"/>
    <w:tmpl w:val="284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69E78E5"/>
    <w:multiLevelType w:val="multilevel"/>
    <w:tmpl w:val="589A74B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A614CF"/>
    <w:multiLevelType w:val="multilevel"/>
    <w:tmpl w:val="E85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B485B6A"/>
    <w:multiLevelType w:val="multilevel"/>
    <w:tmpl w:val="9A8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20134379">
    <w:abstractNumId w:val="4"/>
  </w:num>
  <w:num w:numId="2" w16cid:durableId="2073693078">
    <w:abstractNumId w:val="2"/>
  </w:num>
  <w:num w:numId="3" w16cid:durableId="1698575894">
    <w:abstractNumId w:val="1"/>
  </w:num>
  <w:num w:numId="4" w16cid:durableId="359548813">
    <w:abstractNumId w:val="3"/>
  </w:num>
  <w:num w:numId="5" w16cid:durableId="852181784">
    <w:abstractNumId w:val="6"/>
  </w:num>
  <w:num w:numId="6" w16cid:durableId="1754931980">
    <w:abstractNumId w:val="0"/>
  </w:num>
  <w:num w:numId="7" w16cid:durableId="114033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5727"/>
    <w:rsid w:val="002F6B1B"/>
    <w:rsid w:val="00555727"/>
    <w:rsid w:val="007E78B7"/>
    <w:rsid w:val="00A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738E"/>
  <w15:docId w15:val="{D1E30733-110D-4CC2-82FA-3DCA1338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564</cp:revision>
  <cp:lastPrinted>2024-12-10T11:09:00Z</cp:lastPrinted>
  <dcterms:created xsi:type="dcterms:W3CDTF">2013-08-26T09:01:00Z</dcterms:created>
  <dcterms:modified xsi:type="dcterms:W3CDTF">2026-05-08T11:51:00Z</dcterms:modified>
  <dc:language>en-US</dc:language>
</cp:coreProperties>
</file>