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B43C" w14:textId="77777777" w:rsidR="004F7DD6" w:rsidRDefault="00C92164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47E05D34" w14:textId="77777777" w:rsidR="004F7DD6" w:rsidRDefault="004F7DD6">
      <w:pPr>
        <w:overflowPunct/>
        <w:autoSpaceDE/>
        <w:spacing w:line="360" w:lineRule="auto"/>
        <w:textAlignment w:val="auto"/>
        <w:rPr>
          <w:b/>
          <w:sz w:val="28"/>
          <w:szCs w:val="28"/>
          <w:lang w:val="ro-RO"/>
        </w:rPr>
      </w:pPr>
    </w:p>
    <w:p w14:paraId="05647407" w14:textId="77777777" w:rsidR="004F7DD6" w:rsidRPr="00C92164" w:rsidRDefault="00C92164" w:rsidP="00C92164">
      <w:pPr>
        <w:overflowPunct/>
        <w:autoSpaceDE/>
        <w:spacing w:line="360" w:lineRule="auto"/>
        <w:jc w:val="center"/>
        <w:textAlignment w:val="auto"/>
        <w:rPr>
          <w:b/>
          <w:sz w:val="36"/>
          <w:szCs w:val="36"/>
          <w:lang w:val="ro-RO"/>
        </w:rPr>
      </w:pPr>
      <w:r w:rsidRPr="00C92164">
        <w:rPr>
          <w:b/>
          <w:sz w:val="36"/>
          <w:szCs w:val="36"/>
          <w:lang w:val="ro-RO"/>
        </w:rPr>
        <w:t>Procedura operationala de gestionare a riscurilor fiscale</w:t>
      </w:r>
    </w:p>
    <w:p w14:paraId="79C3E5BD" w14:textId="77777777" w:rsidR="004F7DD6" w:rsidRDefault="004F7DD6">
      <w:pPr>
        <w:overflowPunct/>
        <w:autoSpaceDE/>
        <w:spacing w:before="100" w:after="100" w:line="360" w:lineRule="auto"/>
        <w:textAlignment w:val="auto"/>
        <w:rPr>
          <w:b/>
          <w:sz w:val="28"/>
          <w:szCs w:val="24"/>
          <w:lang w:val="ro-RO"/>
        </w:rPr>
      </w:pPr>
    </w:p>
    <w:p w14:paraId="6B518283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ANTET SOCIETATE</w:t>
      </w:r>
    </w:p>
    <w:p w14:paraId="3108C95C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Denumire societate: _______________________________ </w:t>
      </w:r>
    </w:p>
    <w:p w14:paraId="3921AC4F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Forma juridica: _________________________________ </w:t>
      </w:r>
    </w:p>
    <w:p w14:paraId="5BDC1D07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CUI: ____________________________________________ </w:t>
      </w:r>
    </w:p>
    <w:p w14:paraId="26527694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Nr. inregistrare ORC: ____________________________ </w:t>
      </w:r>
    </w:p>
    <w:p w14:paraId="449BC7DC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Sediu social: ___________________________________</w:t>
      </w:r>
    </w:p>
    <w:p w14:paraId="274F1053" w14:textId="77777777" w:rsidR="004F7DD6" w:rsidRDefault="004F7DD6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1F320BFB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Data intrarii in vigoare: _____________ </w:t>
      </w:r>
    </w:p>
    <w:p w14:paraId="5E026F21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Aprobata de: _________________________</w:t>
      </w:r>
    </w:p>
    <w:p w14:paraId="1E6E21C0" w14:textId="77777777" w:rsidR="004F7DD6" w:rsidRDefault="004F7DD6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021197A6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I – DISPOZITII GENERALE</w:t>
      </w:r>
    </w:p>
    <w:p w14:paraId="77F3670F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1.1. Scopul procedurii</w:t>
      </w:r>
    </w:p>
    <w:p w14:paraId="4FC5ADA6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Prezenta procedura operationala are ca scop identificarea, evaluarea, prevenirea si monitorizarea riscurilor fiscale la nivelul societatii, in vederea protejarii intereselor acesteia si a administratorului, asigurarii conformarii cu legislatia fiscala si reducerii expunerii la sanctiuni, obligatii suplimentare si raspundere patrimoniala.</w:t>
      </w:r>
    </w:p>
    <w:p w14:paraId="6DA3AC2B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1.2. Domeniul de aplicare</w:t>
      </w:r>
    </w:p>
    <w:p w14:paraId="3B10D8EB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Procedura se aplica tuturor operatiunilor economice, fiscale si contabile derulate de societate, inclusiv activitatilor de facturare, transport, declarare fiscala, evidenta contabila si relatia cu autoritatile fiscale.</w:t>
      </w:r>
    </w:p>
    <w:p w14:paraId="105E8D69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1.3. Temei legal si referinte</w:t>
      </w:r>
    </w:p>
    <w:p w14:paraId="1663A70D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lastRenderedPageBreak/>
        <w:t>Prezenta procedura este elaborata in baza urmatoarelor acte normative, cu modificarile si completarile ulterioare:</w:t>
      </w:r>
    </w:p>
    <w:p w14:paraId="080C5027" w14:textId="77777777" w:rsidR="004F7DD6" w:rsidRDefault="00C92164">
      <w:pPr>
        <w:numPr>
          <w:ilvl w:val="0"/>
          <w:numId w:val="5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Legea </w:t>
      </w:r>
      <w:r>
        <w:rPr>
          <w:szCs w:val="24"/>
          <w:lang w:val="ro-RO"/>
        </w:rPr>
        <w:t>nr. 227/2015 privind Codul fiscal;</w:t>
      </w:r>
    </w:p>
    <w:p w14:paraId="5B6BA502" w14:textId="77777777" w:rsidR="004F7DD6" w:rsidRDefault="00C92164">
      <w:pPr>
        <w:numPr>
          <w:ilvl w:val="0"/>
          <w:numId w:val="5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Legea nr. 207/2015 privind Codul de procedura fiscala;</w:t>
      </w:r>
    </w:p>
    <w:p w14:paraId="4BA62A72" w14:textId="77777777" w:rsidR="004F7DD6" w:rsidRDefault="00C92164">
      <w:pPr>
        <w:numPr>
          <w:ilvl w:val="0"/>
          <w:numId w:val="5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Legea nr. 82/1991 a contabilitatii;</w:t>
      </w:r>
    </w:p>
    <w:p w14:paraId="40B746C2" w14:textId="77777777" w:rsidR="004F7DD6" w:rsidRDefault="00C92164">
      <w:pPr>
        <w:numPr>
          <w:ilvl w:val="0"/>
          <w:numId w:val="5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Legea nr. 31/1990 privind societatile;</w:t>
      </w:r>
    </w:p>
    <w:p w14:paraId="5222572B" w14:textId="77777777" w:rsidR="004F7DD6" w:rsidRDefault="00C92164">
      <w:pPr>
        <w:numPr>
          <w:ilvl w:val="0"/>
          <w:numId w:val="5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OUG nr. 120/2021 privind RO e-Factura;</w:t>
      </w:r>
    </w:p>
    <w:p w14:paraId="0A76EC88" w14:textId="77777777" w:rsidR="004F7DD6" w:rsidRDefault="00C92164">
      <w:pPr>
        <w:numPr>
          <w:ilvl w:val="0"/>
          <w:numId w:val="5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OUG nr. 41/2022 privind RO e-Transport;</w:t>
      </w:r>
    </w:p>
    <w:p w14:paraId="0F5CE411" w14:textId="77777777" w:rsidR="004F7DD6" w:rsidRDefault="00C92164">
      <w:pPr>
        <w:numPr>
          <w:ilvl w:val="0"/>
          <w:numId w:val="5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Alte reglementari fiscale incidente.</w:t>
      </w:r>
    </w:p>
    <w:p w14:paraId="79A61EAA" w14:textId="77777777" w:rsidR="004F7DD6" w:rsidRDefault="004F7DD6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74F34C53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II – DEFINIREA RISCULUI FISCAL</w:t>
      </w:r>
    </w:p>
    <w:p w14:paraId="34C41400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Riscul fiscal reprezinta posibilitatea ca societatea sau administratorul acesteia sa fie supusi unor consecinte negative ca urmare a nerespectarii, interpretarii incorecte sau </w:t>
      </w:r>
      <w:r>
        <w:rPr>
          <w:szCs w:val="24"/>
          <w:lang w:val="ro-RO"/>
        </w:rPr>
        <w:t>aplicarii neconforme a legislatiei fiscale.</w:t>
      </w:r>
    </w:p>
    <w:p w14:paraId="6140039D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Riscurile fiscale pot fi financiare (amenzi, accesorii, diferente de impozite), operationale (blocaje de activitate), reputationale sau juridice.</w:t>
      </w:r>
    </w:p>
    <w:p w14:paraId="6FD7800A" w14:textId="77777777" w:rsidR="004F7DD6" w:rsidRDefault="004F7DD6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3957EFF3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III – IDENTIFICAREA RISCURILOR FISCALE</w:t>
      </w:r>
    </w:p>
    <w:p w14:paraId="7D9D21E7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3.1. Zone principale de risc</w:t>
      </w:r>
    </w:p>
    <w:p w14:paraId="102A98F3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Societatea identifica periodic zonele principale de risc fiscal, care includ, fara a se limita la:</w:t>
      </w:r>
    </w:p>
    <w:p w14:paraId="4D3A69D5" w14:textId="77777777" w:rsidR="004F7DD6" w:rsidRDefault="00C92164">
      <w:pPr>
        <w:numPr>
          <w:ilvl w:val="0"/>
          <w:numId w:val="4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emiterea si transmiterea facturilor (e-Factura);</w:t>
      </w:r>
    </w:p>
    <w:p w14:paraId="54FAFC20" w14:textId="77777777" w:rsidR="004F7DD6" w:rsidRDefault="00C92164">
      <w:pPr>
        <w:numPr>
          <w:ilvl w:val="0"/>
          <w:numId w:val="4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transportul bunurilor (RO e-Transport);</w:t>
      </w:r>
    </w:p>
    <w:p w14:paraId="3BA7391B" w14:textId="77777777" w:rsidR="004F7DD6" w:rsidRDefault="00C92164">
      <w:pPr>
        <w:numPr>
          <w:ilvl w:val="0"/>
          <w:numId w:val="4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declaratiile fiscale si termenele de depunere;</w:t>
      </w:r>
    </w:p>
    <w:p w14:paraId="1946A6B7" w14:textId="77777777" w:rsidR="004F7DD6" w:rsidRDefault="00C92164">
      <w:pPr>
        <w:numPr>
          <w:ilvl w:val="0"/>
          <w:numId w:val="4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deductibilitatea TVA si a cheltuielilor;</w:t>
      </w:r>
    </w:p>
    <w:p w14:paraId="46766F28" w14:textId="77777777" w:rsidR="004F7DD6" w:rsidRDefault="00C92164">
      <w:pPr>
        <w:numPr>
          <w:ilvl w:val="0"/>
          <w:numId w:val="4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arhivarea documentelor;</w:t>
      </w:r>
    </w:p>
    <w:p w14:paraId="48931F9B" w14:textId="77777777" w:rsidR="004F7DD6" w:rsidRDefault="00C92164">
      <w:pPr>
        <w:numPr>
          <w:ilvl w:val="0"/>
          <w:numId w:val="4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relatia cu organele de control ANAF.</w:t>
      </w:r>
    </w:p>
    <w:p w14:paraId="4F30617D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lastRenderedPageBreak/>
        <w:t>3.2. Metode de identificare</w:t>
      </w:r>
    </w:p>
    <w:p w14:paraId="0E18CCA2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Identificarea riscurilor se realizeaza prin analiza proceselor interne, istoricul controalelor, modificarile legislative si recomandarile auditorilor sau consultantilor fiscali.</w:t>
      </w:r>
    </w:p>
    <w:p w14:paraId="686F1C9E" w14:textId="77777777" w:rsidR="004F7DD6" w:rsidRDefault="004F7DD6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09A9DB54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IV – EVALUAREA RISCURILOR FISCALE</w:t>
      </w:r>
    </w:p>
    <w:p w14:paraId="544FD7A4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Pentru fiecare risc identificat se evalueaza:</w:t>
      </w:r>
    </w:p>
    <w:p w14:paraId="16109C47" w14:textId="77777777" w:rsidR="004F7DD6" w:rsidRDefault="00C92164">
      <w:pPr>
        <w:numPr>
          <w:ilvl w:val="0"/>
          <w:numId w:val="3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probabilitatea de aparitie;</w:t>
      </w:r>
    </w:p>
    <w:p w14:paraId="16480046" w14:textId="77777777" w:rsidR="004F7DD6" w:rsidRDefault="00C92164">
      <w:pPr>
        <w:numPr>
          <w:ilvl w:val="0"/>
          <w:numId w:val="3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impactul potential financiar si juridic;</w:t>
      </w:r>
    </w:p>
    <w:p w14:paraId="633F44E9" w14:textId="77777777" w:rsidR="004F7DD6" w:rsidRDefault="00C92164">
      <w:pPr>
        <w:numPr>
          <w:ilvl w:val="0"/>
          <w:numId w:val="3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nivelul de risc (scazut, mediu, ridicat).</w:t>
      </w:r>
    </w:p>
    <w:p w14:paraId="0D43836D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Evaluarea se documenteaza intr-o matrice de risc fiscal.</w:t>
      </w:r>
    </w:p>
    <w:p w14:paraId="7215ABD6" w14:textId="77777777" w:rsidR="004F7DD6" w:rsidRDefault="004F7DD6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446E1645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V – MASURI PREVENTIVE</w:t>
      </w:r>
    </w:p>
    <w:p w14:paraId="4E5933B3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5.1. Masuri organizationale</w:t>
      </w:r>
    </w:p>
    <w:p w14:paraId="4F2143AD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Masurile preventive includ implementarea de proceduri interne clare, separarea atributiilor, desemnarea responsabililor fiscali si instruirea periodica a personalului.</w:t>
      </w:r>
    </w:p>
    <w:p w14:paraId="4A2E2208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5.2. Masuri operationale</w:t>
      </w:r>
    </w:p>
    <w:p w14:paraId="66DC731B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Societatea aplica masuri precum verificari periodice, controale interne, utilizarea checklist-urilor si monitorizarea conformarii cu procedurile e-Factura, e-Transport si controalele ANAF.</w:t>
      </w:r>
    </w:p>
    <w:p w14:paraId="3238C9B9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5.3. Masuri de protectie a administratorului</w:t>
      </w:r>
    </w:p>
    <w:p w14:paraId="479F7BCC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Documentarea deciziilor, respectarea procedurilor aprobate si implicarea specialistilor constituie elemente esentiale pentru limitarea raspunderii administratorului.</w:t>
      </w:r>
    </w:p>
    <w:p w14:paraId="4C5D26C9" w14:textId="77777777" w:rsidR="004F7DD6" w:rsidRDefault="004F7DD6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2CA5D984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VI – MONITORIZAREA RISCURILOR FISCALE</w:t>
      </w:r>
    </w:p>
    <w:p w14:paraId="71967764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Riscurile fiscale sunt monitorizate continuu prin rapoarte interne, verificari periodice si reevaluari anuale sau ori de cate ori apar modificari legislative semnificative.</w:t>
      </w:r>
    </w:p>
    <w:p w14:paraId="346F1A62" w14:textId="77777777" w:rsidR="004F7DD6" w:rsidRDefault="004F7DD6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2554008A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lastRenderedPageBreak/>
        <w:t>CAPITOLUL VII – RAPORTARE SI RESPONSABILITATI</w:t>
      </w:r>
    </w:p>
    <w:p w14:paraId="22A566EE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Administratorul societatii raspunde de aprobarea strategiei de gestionare a riscurilor fiscale. Responsabilul fiscal sau financiar-contabil are obligatia de a raporta periodic riscurile identificate si masurile implementate.</w:t>
      </w:r>
    </w:p>
    <w:p w14:paraId="3E6A8629" w14:textId="77777777" w:rsidR="004F7DD6" w:rsidRDefault="004F7DD6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17A9BA99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VIII – CORELAREA CU ALTE PROCEDURI</w:t>
      </w:r>
    </w:p>
    <w:p w14:paraId="6568420B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Prezenta procedura este corelata cu urmatoarele proceduri interne:</w:t>
      </w:r>
    </w:p>
    <w:p w14:paraId="6BBA7E41" w14:textId="77777777" w:rsidR="004F7DD6" w:rsidRDefault="00C92164">
      <w:pPr>
        <w:numPr>
          <w:ilvl w:val="0"/>
          <w:numId w:val="2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Procedura RO e-Factura;</w:t>
      </w:r>
    </w:p>
    <w:p w14:paraId="6C8A70C8" w14:textId="77777777" w:rsidR="004F7DD6" w:rsidRDefault="00C92164">
      <w:pPr>
        <w:numPr>
          <w:ilvl w:val="0"/>
          <w:numId w:val="2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Procedura RO e-Transport;</w:t>
      </w:r>
    </w:p>
    <w:p w14:paraId="16159B86" w14:textId="77777777" w:rsidR="004F7DD6" w:rsidRDefault="00C92164">
      <w:pPr>
        <w:numPr>
          <w:ilvl w:val="0"/>
          <w:numId w:val="2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Procedura de gestionare a controalelor ANAF;</w:t>
      </w:r>
    </w:p>
    <w:p w14:paraId="55FC28B0" w14:textId="77777777" w:rsidR="004F7DD6" w:rsidRDefault="00C92164">
      <w:pPr>
        <w:numPr>
          <w:ilvl w:val="0"/>
          <w:numId w:val="2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Procedura de control intern.</w:t>
      </w:r>
    </w:p>
    <w:p w14:paraId="45B1CCF1" w14:textId="77777777" w:rsidR="004F7DD6" w:rsidRDefault="004F7DD6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51100DB2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IX – ANEXE</w:t>
      </w:r>
    </w:p>
    <w:p w14:paraId="6FEA3ED3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ANEXA 1 – Matrice de risc fiscal</w:t>
      </w:r>
    </w:p>
    <w:p w14:paraId="08792AB4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Document intern care </w:t>
      </w:r>
      <w:r>
        <w:rPr>
          <w:szCs w:val="24"/>
          <w:lang w:val="ro-RO"/>
        </w:rPr>
        <w:t>identifica riscurile fiscale, probabilitatea, impactul si masurile de control.</w:t>
      </w:r>
    </w:p>
    <w:p w14:paraId="2B67ED38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ANEXA 2 – Checklist de monitorizare fiscala</w:t>
      </w:r>
    </w:p>
    <w:p w14:paraId="4D044F2A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Lista periodica de verificare a conformarii fiscale.</w:t>
      </w:r>
    </w:p>
    <w:p w14:paraId="395DE596" w14:textId="77777777" w:rsidR="004F7DD6" w:rsidRDefault="004F7DD6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623D7179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X – DISPOZITII FINALE</w:t>
      </w:r>
    </w:p>
    <w:p w14:paraId="6A3721D2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Prezenta procedura intra in vigoare la data </w:t>
      </w:r>
      <w:r>
        <w:rPr>
          <w:szCs w:val="24"/>
          <w:lang w:val="ro-RO"/>
        </w:rPr>
        <w:t>aprobarii si se aplica tuturor activitatilor societatii. Procedura se revizuieste periodic pentru a reflecta modificarile legislative si organizationale.</w:t>
      </w:r>
    </w:p>
    <w:p w14:paraId="60196096" w14:textId="77777777" w:rsidR="004F7DD6" w:rsidRDefault="004F7DD6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489B3887" w14:textId="77777777" w:rsidR="004F7DD6" w:rsidRPr="00C92164" w:rsidRDefault="00C92164">
      <w:pPr>
        <w:overflowPunct/>
        <w:autoSpaceDE/>
        <w:spacing w:before="100" w:after="100" w:line="360" w:lineRule="auto"/>
        <w:textAlignment w:val="auto"/>
        <w:rPr>
          <w:b/>
          <w:bCs/>
          <w:szCs w:val="24"/>
          <w:lang w:val="ro-RO"/>
        </w:rPr>
      </w:pPr>
      <w:r w:rsidRPr="00C92164">
        <w:rPr>
          <w:b/>
          <w:bCs/>
          <w:szCs w:val="24"/>
          <w:lang w:val="ro-RO"/>
        </w:rPr>
        <w:t>Semnaturi:</w:t>
      </w:r>
    </w:p>
    <w:p w14:paraId="05D46B50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Administrator: __________________________ Data: ___________</w:t>
      </w:r>
    </w:p>
    <w:p w14:paraId="41258E7D" w14:textId="77777777" w:rsidR="004F7DD6" w:rsidRDefault="00C92164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Responsabil fiscal: _____________________ Data: ___________</w:t>
      </w:r>
    </w:p>
    <w:p w14:paraId="58D8349D" w14:textId="77777777" w:rsidR="004F7DD6" w:rsidRDefault="004F7DD6">
      <w:pPr>
        <w:spacing w:line="360" w:lineRule="auto"/>
        <w:rPr>
          <w:szCs w:val="24"/>
          <w:lang w:val="ro-RO"/>
        </w:rPr>
      </w:pPr>
    </w:p>
    <w:sectPr w:rsidR="004F7DD6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C61"/>
    <w:multiLevelType w:val="multilevel"/>
    <w:tmpl w:val="C9D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FAC434C"/>
    <w:multiLevelType w:val="multilevel"/>
    <w:tmpl w:val="1BAA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96F362F"/>
    <w:multiLevelType w:val="multilevel"/>
    <w:tmpl w:val="E856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EEA7D61"/>
    <w:multiLevelType w:val="multilevel"/>
    <w:tmpl w:val="6DE8C91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F2533B"/>
    <w:multiLevelType w:val="multilevel"/>
    <w:tmpl w:val="A28A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663048128">
    <w:abstractNumId w:val="3"/>
  </w:num>
  <w:num w:numId="2" w16cid:durableId="1057245262">
    <w:abstractNumId w:val="0"/>
  </w:num>
  <w:num w:numId="3" w16cid:durableId="1793404270">
    <w:abstractNumId w:val="2"/>
  </w:num>
  <w:num w:numId="4" w16cid:durableId="1496340645">
    <w:abstractNumId w:val="4"/>
  </w:num>
  <w:num w:numId="5" w16cid:durableId="511379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F7DD6"/>
    <w:rsid w:val="00102389"/>
    <w:rsid w:val="004F7DD6"/>
    <w:rsid w:val="00C9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3D59"/>
  <w15:docId w15:val="{25341A5D-13FA-477E-BA21-27BDF2AA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min-w-0truncatetext-token-text-primaryfont-semibold">
    <w:name w:val="min-w-0 truncate text-token-text-primary font-semibold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4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522</cp:revision>
  <cp:lastPrinted>2024-12-10T11:09:00Z</cp:lastPrinted>
  <dcterms:created xsi:type="dcterms:W3CDTF">2013-08-26T08:01:00Z</dcterms:created>
  <dcterms:modified xsi:type="dcterms:W3CDTF">2026-05-08T12:14:00Z</dcterms:modified>
  <dc:language>en-US</dc:language>
</cp:coreProperties>
</file>