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904B" w14:textId="77777777" w:rsidR="00DE2CE2" w:rsidRPr="00921B4C" w:rsidRDefault="00DE2CE2" w:rsidP="00DE2CE2">
      <w:pPr>
        <w:pBdr>
          <w:top w:val="single" w:sz="4" w:space="1" w:color="AAAAAA"/>
          <w:bottom w:val="single" w:sz="4" w:space="1" w:color="AAAAAA"/>
        </w:pBdr>
        <w:shd w:val="clear" w:color="auto" w:fill="F2F2F2"/>
        <w:spacing w:before="80" w:after="80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64D554AE" w14:textId="77777777" w:rsidR="00DE2CE2" w:rsidRDefault="00DE2CE2" w:rsidP="003C4C2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ro-RO" w:eastAsia="ro-RO"/>
        </w:rPr>
      </w:pPr>
    </w:p>
    <w:p w14:paraId="56CF6477" w14:textId="1B0D35CA" w:rsidR="00171E6B" w:rsidRPr="003C4C29" w:rsidRDefault="00171E6B" w:rsidP="003C4C2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ro-RO" w:eastAsia="ro-RO"/>
        </w:rPr>
      </w:pPr>
      <w:r w:rsidRPr="003C4C29">
        <w:rPr>
          <w:rFonts w:ascii="Times New Roman" w:hAnsi="Times New Roman"/>
          <w:b/>
          <w:bCs/>
          <w:kern w:val="36"/>
          <w:sz w:val="32"/>
          <w:szCs w:val="32"/>
          <w:lang w:val="ro-RO" w:eastAsia="ro-RO"/>
        </w:rPr>
        <w:t>PROCEDURĂ OPERAȚIONALĂ</w:t>
      </w:r>
    </w:p>
    <w:p w14:paraId="6D4E02B1" w14:textId="77777777" w:rsidR="00171E6B" w:rsidRDefault="00171E6B" w:rsidP="003C4C2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ro-RO" w:eastAsia="ro-RO"/>
        </w:rPr>
      </w:pPr>
      <w:r w:rsidRPr="003C4C29">
        <w:rPr>
          <w:rFonts w:ascii="Times New Roman" w:hAnsi="Times New Roman"/>
          <w:b/>
          <w:bCs/>
          <w:sz w:val="32"/>
          <w:szCs w:val="32"/>
          <w:lang w:val="ro-RO" w:eastAsia="ro-RO"/>
        </w:rPr>
        <w:t>DECONTAREA CHELTUIELILOR EFECTUATE ÎN INTERES DE SERVICIU</w:t>
      </w:r>
    </w:p>
    <w:p w14:paraId="64CA3BDB" w14:textId="77777777" w:rsidR="00171E6B" w:rsidRPr="003C4C29" w:rsidRDefault="00171E6B" w:rsidP="003C4C2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ro-RO" w:eastAsia="ro-RO"/>
        </w:rPr>
      </w:pPr>
    </w:p>
    <w:p w14:paraId="3D672EA1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SC ________________________ SRL</w:t>
      </w:r>
    </w:p>
    <w:p w14:paraId="3A74A9CF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Data intrării în vigoare: __________</w:t>
      </w:r>
    </w:p>
    <w:p w14:paraId="28A34371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Aprobat: Administrator / Director General</w:t>
      </w:r>
    </w:p>
    <w:p w14:paraId="1A5F0658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9"/>
        <w:gridCol w:w="710"/>
        <w:gridCol w:w="1350"/>
      </w:tblGrid>
      <w:tr w:rsidR="00171E6B" w:rsidRPr="003B4FB0" w14:paraId="68133302" w14:textId="77777777" w:rsidTr="003C4C29">
        <w:tc>
          <w:tcPr>
            <w:tcW w:w="0" w:type="auto"/>
          </w:tcPr>
          <w:p w14:paraId="4A830B9A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Funcția</w:t>
            </w:r>
          </w:p>
        </w:tc>
        <w:tc>
          <w:tcPr>
            <w:tcW w:w="0" w:type="auto"/>
          </w:tcPr>
          <w:p w14:paraId="2060DE2D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Data</w:t>
            </w:r>
          </w:p>
        </w:tc>
        <w:tc>
          <w:tcPr>
            <w:tcW w:w="0" w:type="auto"/>
          </w:tcPr>
          <w:p w14:paraId="3F3825E9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171E6B" w:rsidRPr="003B4FB0" w14:paraId="054C19C2" w14:textId="77777777" w:rsidTr="003C4C29">
        <w:tc>
          <w:tcPr>
            <w:tcW w:w="0" w:type="auto"/>
          </w:tcPr>
          <w:p w14:paraId="4398CBFD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Director General</w:t>
            </w:r>
          </w:p>
        </w:tc>
        <w:tc>
          <w:tcPr>
            <w:tcW w:w="0" w:type="auto"/>
          </w:tcPr>
          <w:p w14:paraId="57D670D7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</w:tcPr>
          <w:p w14:paraId="58B3D054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71E6B" w:rsidRPr="003B4FB0" w14:paraId="0F626815" w14:textId="77777777" w:rsidTr="003C4C29">
        <w:tc>
          <w:tcPr>
            <w:tcW w:w="0" w:type="auto"/>
          </w:tcPr>
          <w:p w14:paraId="5384E8E3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Director Economic</w:t>
            </w:r>
          </w:p>
        </w:tc>
        <w:tc>
          <w:tcPr>
            <w:tcW w:w="0" w:type="auto"/>
          </w:tcPr>
          <w:p w14:paraId="2CE73C42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</w:tcPr>
          <w:p w14:paraId="3DFF8A1E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71E6B" w:rsidRPr="003B4FB0" w14:paraId="4ACB131E" w14:textId="77777777" w:rsidTr="003C4C29">
        <w:tc>
          <w:tcPr>
            <w:tcW w:w="0" w:type="auto"/>
          </w:tcPr>
          <w:p w14:paraId="4D3FB689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Director HR</w:t>
            </w:r>
          </w:p>
        </w:tc>
        <w:tc>
          <w:tcPr>
            <w:tcW w:w="0" w:type="auto"/>
          </w:tcPr>
          <w:p w14:paraId="204A757F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</w:tcPr>
          <w:p w14:paraId="638A46CD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71E6B" w:rsidRPr="003B4FB0" w14:paraId="0EE2E9A2" w14:textId="77777777" w:rsidTr="003C4C29">
        <w:tc>
          <w:tcPr>
            <w:tcW w:w="0" w:type="auto"/>
          </w:tcPr>
          <w:p w14:paraId="6BA94E45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Manager Departament</w:t>
            </w:r>
          </w:p>
        </w:tc>
        <w:tc>
          <w:tcPr>
            <w:tcW w:w="0" w:type="auto"/>
          </w:tcPr>
          <w:p w14:paraId="592CAE3E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</w:tcPr>
          <w:p w14:paraId="2225600F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32299896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710"/>
        <w:gridCol w:w="3162"/>
        <w:gridCol w:w="1457"/>
      </w:tblGrid>
      <w:tr w:rsidR="00171E6B" w:rsidRPr="003B4FB0" w14:paraId="0BC3DC74" w14:textId="77777777" w:rsidTr="003C4C29">
        <w:tc>
          <w:tcPr>
            <w:tcW w:w="0" w:type="auto"/>
          </w:tcPr>
          <w:p w14:paraId="00CF76D5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Rev.</w:t>
            </w:r>
          </w:p>
        </w:tc>
        <w:tc>
          <w:tcPr>
            <w:tcW w:w="0" w:type="auto"/>
          </w:tcPr>
          <w:p w14:paraId="320E6FAB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Data</w:t>
            </w:r>
          </w:p>
        </w:tc>
        <w:tc>
          <w:tcPr>
            <w:tcW w:w="0" w:type="auto"/>
          </w:tcPr>
          <w:p w14:paraId="6EDEC5FE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Descriere modificare</w:t>
            </w:r>
          </w:p>
        </w:tc>
        <w:tc>
          <w:tcPr>
            <w:tcW w:w="0" w:type="auto"/>
          </w:tcPr>
          <w:p w14:paraId="735E8291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Responsabil</w:t>
            </w:r>
          </w:p>
        </w:tc>
      </w:tr>
      <w:tr w:rsidR="00171E6B" w:rsidRPr="003B4FB0" w14:paraId="0FF0892E" w14:textId="77777777" w:rsidTr="003C4C29">
        <w:tc>
          <w:tcPr>
            <w:tcW w:w="0" w:type="auto"/>
          </w:tcPr>
          <w:p w14:paraId="73ED17A4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0" w:type="auto"/>
          </w:tcPr>
          <w:p w14:paraId="69B0F60C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</w:tcPr>
          <w:p w14:paraId="44DC13C9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Emitere procedură</w:t>
            </w:r>
          </w:p>
        </w:tc>
        <w:tc>
          <w:tcPr>
            <w:tcW w:w="0" w:type="auto"/>
          </w:tcPr>
          <w:p w14:paraId="49EFCF4D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71E6B" w:rsidRPr="003B4FB0" w14:paraId="2684C299" w14:textId="77777777" w:rsidTr="003C4C29">
        <w:tc>
          <w:tcPr>
            <w:tcW w:w="0" w:type="auto"/>
          </w:tcPr>
          <w:p w14:paraId="19CB52C6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0" w:type="auto"/>
          </w:tcPr>
          <w:p w14:paraId="28333E16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</w:tcPr>
          <w:p w14:paraId="50E1A8C2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Actualizare plafoane cheltuieli</w:t>
            </w:r>
          </w:p>
        </w:tc>
        <w:tc>
          <w:tcPr>
            <w:tcW w:w="0" w:type="auto"/>
          </w:tcPr>
          <w:p w14:paraId="7C14015A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71E6B" w:rsidRPr="003B4FB0" w14:paraId="22774F09" w14:textId="77777777" w:rsidTr="003C4C29">
        <w:tc>
          <w:tcPr>
            <w:tcW w:w="0" w:type="auto"/>
          </w:tcPr>
          <w:p w14:paraId="4E2A2672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0" w:type="auto"/>
          </w:tcPr>
          <w:p w14:paraId="4211CC77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</w:tcPr>
          <w:p w14:paraId="3FDDBE08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Revizuire anuală</w:t>
            </w:r>
          </w:p>
        </w:tc>
        <w:tc>
          <w:tcPr>
            <w:tcW w:w="0" w:type="auto"/>
          </w:tcPr>
          <w:p w14:paraId="38D019B7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561FBFAB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1B08F431" w14:textId="77777777" w:rsidR="00171E6B" w:rsidRPr="00DE00C8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DE00C8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1. SCOP</w:t>
      </w:r>
    </w:p>
    <w:p w14:paraId="418CB2F3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Scopul prezentei proceduri este stabilirea regulilor privind efectuarea, aprobarea și decontarea cheltuielilor realizate de angajați în interesul societății.</w:t>
      </w:r>
    </w:p>
    <w:p w14:paraId="4DB9E221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Procedura are ca obiective:</w:t>
      </w:r>
    </w:p>
    <w:p w14:paraId="6F24DB43" w14:textId="77777777" w:rsidR="00171E6B" w:rsidRPr="003B4FB0" w:rsidRDefault="00171E6B" w:rsidP="003B4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lastRenderedPageBreak/>
        <w:t>controlul utilizării fondurilor companiei;</w:t>
      </w:r>
    </w:p>
    <w:p w14:paraId="73FC79EB" w14:textId="77777777" w:rsidR="00171E6B" w:rsidRPr="003B4FB0" w:rsidRDefault="00171E6B" w:rsidP="003B4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transparența cheltuielilor;</w:t>
      </w:r>
    </w:p>
    <w:p w14:paraId="37DE31D2" w14:textId="77777777" w:rsidR="00171E6B" w:rsidRPr="003B4FB0" w:rsidRDefault="00171E6B" w:rsidP="003B4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conformitatea cu legislația fiscală și contabilă;</w:t>
      </w:r>
    </w:p>
    <w:p w14:paraId="622A0C18" w14:textId="77777777" w:rsidR="00171E6B" w:rsidRPr="003B4FB0" w:rsidRDefault="00171E6B" w:rsidP="003B4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prevenirea cheltuielilor nejustificate.</w:t>
      </w:r>
    </w:p>
    <w:p w14:paraId="021EE783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76A44A8D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2. DOMENIU DE APLICARE</w:t>
      </w:r>
    </w:p>
    <w:p w14:paraId="17CD0BBF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Procedura se aplică tuturor salariaților societății care efectuează cheltuieli în interes de serviciu și solicită rambursarea acestora.</w:t>
      </w:r>
    </w:p>
    <w:p w14:paraId="304866FE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Se aplică pentru:</w:t>
      </w:r>
    </w:p>
    <w:p w14:paraId="64A3F87C" w14:textId="77777777" w:rsidR="00171E6B" w:rsidRPr="003B4FB0" w:rsidRDefault="00171E6B" w:rsidP="003B4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deplasări interne și externe;</w:t>
      </w:r>
    </w:p>
    <w:p w14:paraId="0180A191" w14:textId="77777777" w:rsidR="00171E6B" w:rsidRPr="003B4FB0" w:rsidRDefault="00171E6B" w:rsidP="003B4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cheltuieli de reprezentare;</w:t>
      </w:r>
    </w:p>
    <w:p w14:paraId="3EC2D619" w14:textId="77777777" w:rsidR="00171E6B" w:rsidRPr="003B4FB0" w:rsidRDefault="00171E6B" w:rsidP="003B4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cheltuieli administrative;</w:t>
      </w:r>
    </w:p>
    <w:p w14:paraId="539C4D2E" w14:textId="77777777" w:rsidR="00171E6B" w:rsidRPr="003B4FB0" w:rsidRDefault="00171E6B" w:rsidP="003B4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achiziții urgente pentru desfășurarea activității.</w:t>
      </w:r>
    </w:p>
    <w:p w14:paraId="2E49C9AF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5FCB0E99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3. DOCUMENTE DE REFERINȚĂ</w:t>
      </w:r>
    </w:p>
    <w:p w14:paraId="0BFBDD20" w14:textId="77777777" w:rsidR="00171E6B" w:rsidRPr="003B4FB0" w:rsidRDefault="00171E6B" w:rsidP="003B4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Legea contabilității nr. 82/1991</w:t>
      </w:r>
    </w:p>
    <w:p w14:paraId="585ECA6C" w14:textId="77777777" w:rsidR="00171E6B" w:rsidRPr="003B4FB0" w:rsidRDefault="00171E6B" w:rsidP="003B4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Codul fiscal – Legea nr. 227/2015</w:t>
      </w:r>
    </w:p>
    <w:p w14:paraId="47887B1C" w14:textId="77777777" w:rsidR="00171E6B" w:rsidRPr="003B4FB0" w:rsidRDefault="00171E6B" w:rsidP="003B4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Ordinul privind documentele financiar-contabile</w:t>
      </w:r>
    </w:p>
    <w:p w14:paraId="59E7ADE6" w14:textId="77777777" w:rsidR="00171E6B" w:rsidRPr="003B4FB0" w:rsidRDefault="00171E6B" w:rsidP="003B4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politica internă privind deplasările de serviciu</w:t>
      </w:r>
    </w:p>
    <w:p w14:paraId="28072A65" w14:textId="77777777" w:rsidR="00171E6B" w:rsidRPr="003B4FB0" w:rsidRDefault="00171E6B" w:rsidP="003B4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regulamentul intern al societății</w:t>
      </w:r>
    </w:p>
    <w:p w14:paraId="35F2365D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281C672D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4. DEFINIȚII</w:t>
      </w:r>
    </w:p>
    <w:p w14:paraId="64AEF792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b/>
          <w:bCs/>
          <w:sz w:val="24"/>
          <w:szCs w:val="24"/>
          <w:lang w:val="ro-RO" w:eastAsia="ro-RO"/>
        </w:rPr>
        <w:t>Decont de cheltuieli</w:t>
      </w:r>
      <w:r w:rsidRPr="003B4FB0">
        <w:rPr>
          <w:rFonts w:ascii="Times New Roman" w:hAnsi="Times New Roman"/>
          <w:sz w:val="24"/>
          <w:szCs w:val="24"/>
          <w:lang w:val="ro-RO" w:eastAsia="ro-RO"/>
        </w:rPr>
        <w:br/>
        <w:t>Document financiar-contabil prin care angajatul justifică cheltuielile realizate în interesul companiei.</w:t>
      </w:r>
    </w:p>
    <w:p w14:paraId="275C8E28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b/>
          <w:bCs/>
          <w:sz w:val="24"/>
          <w:szCs w:val="24"/>
          <w:lang w:val="ro-RO" w:eastAsia="ro-RO"/>
        </w:rPr>
        <w:t>Avans de trezorerie</w:t>
      </w:r>
      <w:r w:rsidRPr="003B4FB0">
        <w:rPr>
          <w:rFonts w:ascii="Times New Roman" w:hAnsi="Times New Roman"/>
          <w:sz w:val="24"/>
          <w:szCs w:val="24"/>
          <w:lang w:val="ro-RO" w:eastAsia="ro-RO"/>
        </w:rPr>
        <w:br/>
        <w:t>Sumă acordată angajatului înaintea efectuării unei deplasări sau cheltuieli.</w:t>
      </w:r>
    </w:p>
    <w:p w14:paraId="24C66083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b/>
          <w:bCs/>
          <w:sz w:val="24"/>
          <w:szCs w:val="24"/>
          <w:lang w:val="ro-RO" w:eastAsia="ro-RO"/>
        </w:rPr>
        <w:t>Card de companie</w:t>
      </w:r>
      <w:r w:rsidRPr="003B4FB0">
        <w:rPr>
          <w:rFonts w:ascii="Times New Roman" w:hAnsi="Times New Roman"/>
          <w:sz w:val="24"/>
          <w:szCs w:val="24"/>
          <w:lang w:val="ro-RO" w:eastAsia="ro-RO"/>
        </w:rPr>
        <w:br/>
        <w:t>Card bancar emis pe numele angajatului pentru efectuarea cheltuielilor în interesul companiei.</w:t>
      </w:r>
    </w:p>
    <w:p w14:paraId="69713C1B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381BD2B1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5. TIPURI DE CHELTUIELI DECONTABILE</w:t>
      </w:r>
    </w:p>
    <w:p w14:paraId="1E6EA5F2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lastRenderedPageBreak/>
        <w:t>Pot fi decontate doar cheltuielile efectuate în interesul direct al societății.</w:t>
      </w:r>
    </w:p>
    <w:p w14:paraId="15E0FFFF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5.1 Cheltuieli de transport</w:t>
      </w:r>
    </w:p>
    <w:p w14:paraId="73C98D42" w14:textId="77777777" w:rsidR="00171E6B" w:rsidRPr="003B4FB0" w:rsidRDefault="00171E6B" w:rsidP="003B4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avion</w:t>
      </w:r>
    </w:p>
    <w:p w14:paraId="163D22F4" w14:textId="77777777" w:rsidR="00171E6B" w:rsidRPr="003B4FB0" w:rsidRDefault="00171E6B" w:rsidP="003B4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tren</w:t>
      </w:r>
    </w:p>
    <w:p w14:paraId="4272956D" w14:textId="77777777" w:rsidR="00171E6B" w:rsidRPr="003B4FB0" w:rsidRDefault="00171E6B" w:rsidP="003B4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transport public</w:t>
      </w:r>
    </w:p>
    <w:p w14:paraId="40DB4593" w14:textId="77777777" w:rsidR="00171E6B" w:rsidRPr="003B4FB0" w:rsidRDefault="00171E6B" w:rsidP="003B4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taxi</w:t>
      </w:r>
    </w:p>
    <w:p w14:paraId="3708DD1D" w14:textId="77777777" w:rsidR="00171E6B" w:rsidRPr="003B4FB0" w:rsidRDefault="00171E6B" w:rsidP="003B4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combustibil pentru deplasări în interes de serviciu</w:t>
      </w:r>
    </w:p>
    <w:p w14:paraId="6A176AAA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ro-RO" w:eastAsia="ro-RO"/>
        </w:rPr>
      </w:pPr>
    </w:p>
    <w:p w14:paraId="1F63E064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5.2 Cheltuieli de cazare</w:t>
      </w:r>
    </w:p>
    <w:p w14:paraId="55A40DA1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Se decontează cazarea în unități autorizate.</w:t>
      </w:r>
    </w:p>
    <w:p w14:paraId="11ABC743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Plafon orientativ:</w:t>
      </w:r>
    </w:p>
    <w:p w14:paraId="06080CCA" w14:textId="77777777" w:rsidR="00171E6B" w:rsidRPr="003B4FB0" w:rsidRDefault="00171E6B" w:rsidP="003B4F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 xml:space="preserve">deplasări interne: </w:t>
      </w:r>
      <w:r w:rsidRPr="003B4FB0">
        <w:rPr>
          <w:rFonts w:ascii="Times New Roman" w:hAnsi="Times New Roman"/>
          <w:b/>
          <w:bCs/>
          <w:sz w:val="24"/>
          <w:szCs w:val="24"/>
          <w:lang w:val="ro-RO" w:eastAsia="ro-RO"/>
        </w:rPr>
        <w:t>max. 500 lei/noapte</w:t>
      </w:r>
    </w:p>
    <w:p w14:paraId="7DDF64BD" w14:textId="77777777" w:rsidR="00171E6B" w:rsidRPr="003B4FB0" w:rsidRDefault="00171E6B" w:rsidP="003B4F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deplasări externe: conform politicii de deplasare.</w:t>
      </w:r>
    </w:p>
    <w:p w14:paraId="7E28B22C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7A484A93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5.3 Cheltuieli de masă (diurnă)</w:t>
      </w:r>
    </w:p>
    <w:p w14:paraId="4261EEB3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Diurna se acordă conform legislației fiscale.</w:t>
      </w:r>
    </w:p>
    <w:p w14:paraId="420F2843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Plafoane orientative:</w:t>
      </w:r>
    </w:p>
    <w:p w14:paraId="5A886702" w14:textId="77777777" w:rsidR="00171E6B" w:rsidRPr="003B4FB0" w:rsidRDefault="00171E6B" w:rsidP="003B4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diurnă internă: conform plafonului neimpozabil stabilit prin legislație</w:t>
      </w:r>
    </w:p>
    <w:p w14:paraId="3DE49B4F" w14:textId="77777777" w:rsidR="00171E6B" w:rsidRPr="003B4FB0" w:rsidRDefault="00171E6B" w:rsidP="003B4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diurnă externă: conform HG privind deplasările externe.</w:t>
      </w:r>
    </w:p>
    <w:p w14:paraId="0626E88A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1DB3AA83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5.4 Cheltuieli de reprezentare</w:t>
      </w:r>
    </w:p>
    <w:p w14:paraId="10A115CC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Pot include:</w:t>
      </w:r>
    </w:p>
    <w:p w14:paraId="0ECDDB0D" w14:textId="77777777" w:rsidR="00171E6B" w:rsidRPr="003B4FB0" w:rsidRDefault="00171E6B" w:rsidP="003B4F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mese de afaceri;</w:t>
      </w:r>
    </w:p>
    <w:p w14:paraId="0A592E15" w14:textId="77777777" w:rsidR="00171E6B" w:rsidRPr="003B4FB0" w:rsidRDefault="00171E6B" w:rsidP="003B4F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întâlniri cu parteneri;</w:t>
      </w:r>
    </w:p>
    <w:p w14:paraId="1A49A37D" w14:textId="77777777" w:rsidR="00171E6B" w:rsidRPr="003B4FB0" w:rsidRDefault="00171E6B" w:rsidP="003B4F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evenimente de business.</w:t>
      </w:r>
    </w:p>
    <w:p w14:paraId="1611AD4F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Aceste cheltuieli necesită aprobarea managerului direct.</w:t>
      </w:r>
    </w:p>
    <w:p w14:paraId="3F325A55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09C05649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5.5 Cheltuieli administrative</w:t>
      </w:r>
    </w:p>
    <w:p w14:paraId="32BAD51C" w14:textId="77777777" w:rsidR="00171E6B" w:rsidRPr="003B4FB0" w:rsidRDefault="00171E6B" w:rsidP="003B4F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materiale de birou;</w:t>
      </w:r>
    </w:p>
    <w:p w14:paraId="448E5B8D" w14:textId="77777777" w:rsidR="00171E6B" w:rsidRPr="003B4FB0" w:rsidRDefault="00171E6B" w:rsidP="003B4F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servicii urgente necesare activității;</w:t>
      </w:r>
    </w:p>
    <w:p w14:paraId="245B1BE6" w14:textId="77777777" w:rsidR="00171E6B" w:rsidRPr="003B4FB0" w:rsidRDefault="00171E6B" w:rsidP="003B4F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taxe administrative.</w:t>
      </w:r>
    </w:p>
    <w:p w14:paraId="5649FAB4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6F23B569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lastRenderedPageBreak/>
        <w:t>6. PLAFOANE DE CHELTUIELI</w:t>
      </w:r>
    </w:p>
    <w:p w14:paraId="47F37E2C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Pentru controlul costurilor se stabilesc următoarele plafoane orientative: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1"/>
        <w:gridCol w:w="1655"/>
      </w:tblGrid>
      <w:tr w:rsidR="00171E6B" w:rsidRPr="003B4FB0" w14:paraId="750B7C59" w14:textId="77777777" w:rsidTr="003B4FB0">
        <w:trPr>
          <w:tblHeader/>
          <w:tblCellSpacing w:w="15" w:type="dxa"/>
        </w:trPr>
        <w:tc>
          <w:tcPr>
            <w:tcW w:w="0" w:type="auto"/>
            <w:vAlign w:val="center"/>
          </w:tcPr>
          <w:p w14:paraId="633C2FBB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Tip cheltuială</w:t>
            </w:r>
          </w:p>
        </w:tc>
        <w:tc>
          <w:tcPr>
            <w:tcW w:w="0" w:type="auto"/>
            <w:vAlign w:val="center"/>
          </w:tcPr>
          <w:p w14:paraId="16FFF94B" w14:textId="77777777" w:rsidR="00171E6B" w:rsidRPr="003B4FB0" w:rsidRDefault="00171E6B" w:rsidP="003B4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Plafon</w:t>
            </w:r>
          </w:p>
        </w:tc>
      </w:tr>
      <w:tr w:rsidR="00171E6B" w:rsidRPr="003B4FB0" w14:paraId="6E605D72" w14:textId="77777777" w:rsidTr="003B4FB0">
        <w:trPr>
          <w:tblCellSpacing w:w="15" w:type="dxa"/>
        </w:trPr>
        <w:tc>
          <w:tcPr>
            <w:tcW w:w="0" w:type="auto"/>
            <w:vAlign w:val="center"/>
          </w:tcPr>
          <w:p w14:paraId="54AE54D2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masă de afaceri</w:t>
            </w:r>
          </w:p>
        </w:tc>
        <w:tc>
          <w:tcPr>
            <w:tcW w:w="0" w:type="auto"/>
            <w:vAlign w:val="center"/>
          </w:tcPr>
          <w:p w14:paraId="3EF8EB1C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200 lei/persoană</w:t>
            </w:r>
          </w:p>
        </w:tc>
      </w:tr>
      <w:tr w:rsidR="00171E6B" w:rsidRPr="003B4FB0" w14:paraId="5430D5D5" w14:textId="77777777" w:rsidTr="003B4FB0">
        <w:trPr>
          <w:tblCellSpacing w:w="15" w:type="dxa"/>
        </w:trPr>
        <w:tc>
          <w:tcPr>
            <w:tcW w:w="0" w:type="auto"/>
            <w:vAlign w:val="center"/>
          </w:tcPr>
          <w:p w14:paraId="01EDDB2C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cazare internă</w:t>
            </w:r>
          </w:p>
        </w:tc>
        <w:tc>
          <w:tcPr>
            <w:tcW w:w="0" w:type="auto"/>
            <w:vAlign w:val="center"/>
          </w:tcPr>
          <w:p w14:paraId="1CFDEB19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500 lei/noapte</w:t>
            </w:r>
          </w:p>
        </w:tc>
      </w:tr>
      <w:tr w:rsidR="00171E6B" w:rsidRPr="003B4FB0" w14:paraId="0624E377" w14:textId="77777777" w:rsidTr="003B4FB0">
        <w:trPr>
          <w:tblCellSpacing w:w="15" w:type="dxa"/>
        </w:trPr>
        <w:tc>
          <w:tcPr>
            <w:tcW w:w="0" w:type="auto"/>
            <w:vAlign w:val="center"/>
          </w:tcPr>
          <w:p w14:paraId="70881C40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taxi</w:t>
            </w:r>
          </w:p>
        </w:tc>
        <w:tc>
          <w:tcPr>
            <w:tcW w:w="0" w:type="auto"/>
            <w:vAlign w:val="center"/>
          </w:tcPr>
          <w:p w14:paraId="30B0B538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150 lei/zi</w:t>
            </w:r>
          </w:p>
        </w:tc>
      </w:tr>
      <w:tr w:rsidR="00171E6B" w:rsidRPr="003B4FB0" w14:paraId="1FB4047F" w14:textId="77777777" w:rsidTr="003B4FB0">
        <w:trPr>
          <w:tblCellSpacing w:w="15" w:type="dxa"/>
        </w:trPr>
        <w:tc>
          <w:tcPr>
            <w:tcW w:w="0" w:type="auto"/>
            <w:vAlign w:val="center"/>
          </w:tcPr>
          <w:p w14:paraId="5036EF99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cheltuieli administrative</w:t>
            </w:r>
          </w:p>
        </w:tc>
        <w:tc>
          <w:tcPr>
            <w:tcW w:w="0" w:type="auto"/>
            <w:vAlign w:val="center"/>
          </w:tcPr>
          <w:p w14:paraId="6692903B" w14:textId="77777777" w:rsidR="00171E6B" w:rsidRPr="003B4FB0" w:rsidRDefault="00171E6B" w:rsidP="003B4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3B4FB0">
              <w:rPr>
                <w:rFonts w:ascii="Times New Roman" w:hAnsi="Times New Roman"/>
                <w:sz w:val="24"/>
                <w:szCs w:val="24"/>
                <w:lang w:val="ro-RO" w:eastAsia="ro-RO"/>
              </w:rPr>
              <w:t>1000 lei/decont</w:t>
            </w:r>
          </w:p>
        </w:tc>
      </w:tr>
    </w:tbl>
    <w:p w14:paraId="581D468A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Depășirea plafoanelor necesită aprobarea directorului departamentului.</w:t>
      </w:r>
    </w:p>
    <w:p w14:paraId="76280421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78336AAF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7. UTILIZAREA CARDULUI DE COMPANIE</w:t>
      </w:r>
    </w:p>
    <w:p w14:paraId="6790AFC9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Cardul de companie poate fi utilizat exclusiv pentru cheltuieli în interes de serviciu.</w:t>
      </w:r>
    </w:p>
    <w:p w14:paraId="34B4A7BC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Este interzisă utilizarea cardului pentru:</w:t>
      </w:r>
    </w:p>
    <w:p w14:paraId="1193987D" w14:textId="77777777" w:rsidR="00171E6B" w:rsidRPr="003B4FB0" w:rsidRDefault="00171E6B" w:rsidP="003B4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cheltuieli personale;</w:t>
      </w:r>
    </w:p>
    <w:p w14:paraId="664DA7EF" w14:textId="77777777" w:rsidR="00171E6B" w:rsidRPr="003B4FB0" w:rsidRDefault="00171E6B" w:rsidP="003B4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retrageri de numerar fără aprobare;</w:t>
      </w:r>
    </w:p>
    <w:p w14:paraId="4C306253" w14:textId="77777777" w:rsidR="00171E6B" w:rsidRPr="003B4FB0" w:rsidRDefault="00171E6B" w:rsidP="003B4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tranzacții nejustificate.</w:t>
      </w:r>
    </w:p>
    <w:p w14:paraId="7738F692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Angajatul este responsabil pentru justificarea tuturor tranzacțiilor realizate cu cardul de companie.</w:t>
      </w:r>
    </w:p>
    <w:p w14:paraId="5F5838DF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568AAA56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8. RESPONSABILITĂȚI</w:t>
      </w:r>
    </w:p>
    <w:p w14:paraId="20B59197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Angajatul</w:t>
      </w:r>
    </w:p>
    <w:p w14:paraId="709F1A5B" w14:textId="77777777" w:rsidR="00171E6B" w:rsidRPr="003B4FB0" w:rsidRDefault="00171E6B" w:rsidP="003B4F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efectuează cheltuielile în interes de serviciu;</w:t>
      </w:r>
    </w:p>
    <w:p w14:paraId="22C3005C" w14:textId="77777777" w:rsidR="00171E6B" w:rsidRPr="003B4FB0" w:rsidRDefault="00171E6B" w:rsidP="003B4F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păstrează documentele justificative;</w:t>
      </w:r>
    </w:p>
    <w:p w14:paraId="2DF18118" w14:textId="77777777" w:rsidR="00171E6B" w:rsidRPr="003B4FB0" w:rsidRDefault="00171E6B" w:rsidP="003B4F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întocmește decontul de cheltuieli.</w:t>
      </w:r>
    </w:p>
    <w:p w14:paraId="24F24DFC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Managerul de departament</w:t>
      </w:r>
    </w:p>
    <w:p w14:paraId="7EA69555" w14:textId="77777777" w:rsidR="00171E6B" w:rsidRPr="003B4FB0" w:rsidRDefault="00171E6B" w:rsidP="003B4F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aprobă deplasările și cheltuielile;</w:t>
      </w:r>
    </w:p>
    <w:p w14:paraId="57BBE772" w14:textId="77777777" w:rsidR="00171E6B" w:rsidRPr="003B4FB0" w:rsidRDefault="00171E6B" w:rsidP="003B4F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verifică justificarea deconturilor.</w:t>
      </w:r>
    </w:p>
    <w:p w14:paraId="5EAAED22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Departamentul financiar-contabil</w:t>
      </w:r>
    </w:p>
    <w:p w14:paraId="5E5820B2" w14:textId="77777777" w:rsidR="00171E6B" w:rsidRPr="003B4FB0" w:rsidRDefault="00171E6B" w:rsidP="003B4F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verifică documentele justificative;</w:t>
      </w:r>
    </w:p>
    <w:p w14:paraId="75EB235A" w14:textId="77777777" w:rsidR="00171E6B" w:rsidRPr="003B4FB0" w:rsidRDefault="00171E6B" w:rsidP="003B4F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lastRenderedPageBreak/>
        <w:t>înregistrează cheltuielile în contabilitate;</w:t>
      </w:r>
    </w:p>
    <w:p w14:paraId="58B839F7" w14:textId="77777777" w:rsidR="00171E6B" w:rsidRPr="003B4FB0" w:rsidRDefault="00171E6B" w:rsidP="003B4F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efectuează rambursarea sumelor.</w:t>
      </w:r>
    </w:p>
    <w:p w14:paraId="2E94A5C1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17A79B9B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9. PROCEDURA DE DECONTARE</w:t>
      </w:r>
    </w:p>
    <w:p w14:paraId="14094F85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Pasul 1 – Aprobarea cheltuielii</w:t>
      </w:r>
    </w:p>
    <w:p w14:paraId="443C5C5C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Angajatul solicită aprobarea managerului înainte de efectuarea cheltuielii.</w:t>
      </w:r>
    </w:p>
    <w:p w14:paraId="5AB0145B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3009C638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Pasul 2 – Efectuarea cheltuielii</w:t>
      </w:r>
    </w:p>
    <w:p w14:paraId="0206200C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Cheltuiala poate fi efectuată prin:</w:t>
      </w:r>
    </w:p>
    <w:p w14:paraId="40082DB2" w14:textId="77777777" w:rsidR="00171E6B" w:rsidRPr="003B4FB0" w:rsidRDefault="00171E6B" w:rsidP="003B4F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card de companie;</w:t>
      </w:r>
    </w:p>
    <w:p w14:paraId="14CDEE7E" w14:textId="77777777" w:rsidR="00171E6B" w:rsidRPr="003B4FB0" w:rsidRDefault="00171E6B" w:rsidP="003B4F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numerar;</w:t>
      </w:r>
    </w:p>
    <w:p w14:paraId="3B4326AC" w14:textId="77777777" w:rsidR="00171E6B" w:rsidRPr="003B4FB0" w:rsidRDefault="00171E6B" w:rsidP="003B4F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avans de trezorerie.</w:t>
      </w:r>
    </w:p>
    <w:p w14:paraId="1A2F7897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2A32061C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Pasul 3 – Colectarea documentelor justificative</w:t>
      </w:r>
    </w:p>
    <w:p w14:paraId="5C211E10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Angajatul trebuie să păstreze documentele justificative:</w:t>
      </w:r>
    </w:p>
    <w:p w14:paraId="7D8B26FF" w14:textId="77777777" w:rsidR="00171E6B" w:rsidRPr="003B4FB0" w:rsidRDefault="00171E6B" w:rsidP="003B4F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facturi;</w:t>
      </w:r>
    </w:p>
    <w:p w14:paraId="5E640703" w14:textId="77777777" w:rsidR="00171E6B" w:rsidRPr="003B4FB0" w:rsidRDefault="00171E6B" w:rsidP="003B4F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bonuri fiscale;</w:t>
      </w:r>
    </w:p>
    <w:p w14:paraId="3E6DDA07" w14:textId="77777777" w:rsidR="00171E6B" w:rsidRPr="003B4FB0" w:rsidRDefault="00171E6B" w:rsidP="003B4F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bilete de transport;</w:t>
      </w:r>
    </w:p>
    <w:p w14:paraId="17521384" w14:textId="77777777" w:rsidR="00171E6B" w:rsidRPr="003B4FB0" w:rsidRDefault="00171E6B" w:rsidP="003B4F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chitanțe;</w:t>
      </w:r>
    </w:p>
    <w:p w14:paraId="42C361AE" w14:textId="77777777" w:rsidR="00171E6B" w:rsidRPr="003B4FB0" w:rsidRDefault="00171E6B" w:rsidP="003B4F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facturi de cazare.</w:t>
      </w:r>
    </w:p>
    <w:p w14:paraId="5C8728ED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4839E856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Pasul 4 – Întocmirea decontului</w:t>
      </w:r>
    </w:p>
    <w:p w14:paraId="7092F5B8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Decontul de cheltuieli trebuie să conțină:</w:t>
      </w:r>
    </w:p>
    <w:p w14:paraId="50E982D0" w14:textId="77777777" w:rsidR="00171E6B" w:rsidRPr="003B4FB0" w:rsidRDefault="00171E6B" w:rsidP="003B4F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numele angajatului;</w:t>
      </w:r>
    </w:p>
    <w:p w14:paraId="294C3FDA" w14:textId="77777777" w:rsidR="00171E6B" w:rsidRPr="003B4FB0" w:rsidRDefault="00171E6B" w:rsidP="003B4F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departamentul;</w:t>
      </w:r>
    </w:p>
    <w:p w14:paraId="6D3A6350" w14:textId="77777777" w:rsidR="00171E6B" w:rsidRPr="003B4FB0" w:rsidRDefault="00171E6B" w:rsidP="003B4F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perioada cheltuielilor;</w:t>
      </w:r>
    </w:p>
    <w:p w14:paraId="7400DB16" w14:textId="77777777" w:rsidR="00171E6B" w:rsidRPr="003B4FB0" w:rsidRDefault="00171E6B" w:rsidP="003B4F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tipul cheltuielilor;</w:t>
      </w:r>
    </w:p>
    <w:p w14:paraId="5FE1D1E7" w14:textId="77777777" w:rsidR="00171E6B" w:rsidRPr="003B4FB0" w:rsidRDefault="00171E6B" w:rsidP="003B4F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valoarea totală.</w:t>
      </w:r>
    </w:p>
    <w:p w14:paraId="753E6EF2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7733268F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lastRenderedPageBreak/>
        <w:t>Pasul 5 – Aprobarea decontului</w:t>
      </w:r>
    </w:p>
    <w:p w14:paraId="005B247A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Decontul este verificat și aprobat de managerul direct.</w:t>
      </w:r>
    </w:p>
    <w:p w14:paraId="43931EC8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7E10BCEA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Pasul 6 – Verificarea financiar-contabilă</w:t>
      </w:r>
    </w:p>
    <w:p w14:paraId="632C5890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Departamentul financiar-contabil verifică:</w:t>
      </w:r>
    </w:p>
    <w:p w14:paraId="374E7A62" w14:textId="77777777" w:rsidR="00171E6B" w:rsidRPr="003B4FB0" w:rsidRDefault="00171E6B" w:rsidP="003B4F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legalitatea documentelor;</w:t>
      </w:r>
    </w:p>
    <w:p w14:paraId="58B9D4EC" w14:textId="77777777" w:rsidR="00171E6B" w:rsidRPr="003B4FB0" w:rsidRDefault="00171E6B" w:rsidP="003B4F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corectitudinea sumelor;</w:t>
      </w:r>
    </w:p>
    <w:p w14:paraId="6C2A3AF9" w14:textId="77777777" w:rsidR="00171E6B" w:rsidRPr="003B4FB0" w:rsidRDefault="00171E6B" w:rsidP="003B4F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respectarea plafoanelor.</w:t>
      </w:r>
    </w:p>
    <w:p w14:paraId="2B25491C" w14:textId="77777777" w:rsidR="00171E6B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val="ro-RO" w:eastAsia="ro-RO"/>
        </w:rPr>
      </w:pPr>
    </w:p>
    <w:p w14:paraId="50728B51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B43D3">
        <w:rPr>
          <w:rFonts w:ascii="Times New Roman" w:hAnsi="Times New Roman"/>
          <w:b/>
          <w:bCs/>
          <w:sz w:val="24"/>
          <w:szCs w:val="24"/>
          <w:lang w:val="ro-RO" w:eastAsia="ro-RO"/>
        </w:rPr>
        <w:t>Pasul 7 – Rambursarea cheltuielilor</w:t>
      </w:r>
    </w:p>
    <w:p w14:paraId="55577B97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Rambursarea sumelor se face prin:</w:t>
      </w:r>
    </w:p>
    <w:p w14:paraId="182D2F8B" w14:textId="77777777" w:rsidR="00171E6B" w:rsidRPr="003B4FB0" w:rsidRDefault="00171E6B" w:rsidP="003B4F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transfer bancar;</w:t>
      </w:r>
    </w:p>
    <w:p w14:paraId="18859940" w14:textId="77777777" w:rsidR="00171E6B" w:rsidRPr="003B4FB0" w:rsidRDefault="00171E6B" w:rsidP="003B4F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compensare cu avansul primit.</w:t>
      </w:r>
    </w:p>
    <w:p w14:paraId="5854F71A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4E988BE4" w14:textId="77777777" w:rsidR="00171E6B" w:rsidRPr="007B43D3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B43D3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10. TERMENUL DE DEPUNERE A DECONTULUI</w:t>
      </w:r>
    </w:p>
    <w:p w14:paraId="4D3B95CD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Decontul trebuie depus:</w:t>
      </w:r>
    </w:p>
    <w:p w14:paraId="01EEA980" w14:textId="77777777" w:rsidR="00171E6B" w:rsidRPr="003B4FB0" w:rsidRDefault="00171E6B" w:rsidP="003B4F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b/>
          <w:bCs/>
          <w:sz w:val="24"/>
          <w:szCs w:val="24"/>
          <w:lang w:val="ro-RO" w:eastAsia="ro-RO"/>
        </w:rPr>
        <w:t>în maximum 5 zile lucrătoare</w:t>
      </w:r>
      <w:r w:rsidRPr="003B4FB0">
        <w:rPr>
          <w:rFonts w:ascii="Times New Roman" w:hAnsi="Times New Roman"/>
          <w:sz w:val="24"/>
          <w:szCs w:val="24"/>
          <w:lang w:val="ro-RO" w:eastAsia="ro-RO"/>
        </w:rPr>
        <w:t xml:space="preserve"> de la efectuarea cheltuielii sau revenirea din deplasare.</w:t>
      </w:r>
    </w:p>
    <w:p w14:paraId="3BE946AD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7F493702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11. CHELTUIELI NEDECONTABILE</w:t>
      </w:r>
    </w:p>
    <w:p w14:paraId="36D0489B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Nu sunt acceptate pentru decont:</w:t>
      </w:r>
    </w:p>
    <w:p w14:paraId="6F7E25F7" w14:textId="77777777" w:rsidR="00171E6B" w:rsidRPr="003B4FB0" w:rsidRDefault="00171E6B" w:rsidP="003B4F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cheltuieli personale;</w:t>
      </w:r>
    </w:p>
    <w:p w14:paraId="558375C2" w14:textId="77777777" w:rsidR="00171E6B" w:rsidRPr="003B4FB0" w:rsidRDefault="00171E6B" w:rsidP="003B4F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amenzi sau penalități;</w:t>
      </w:r>
    </w:p>
    <w:p w14:paraId="2F49653A" w14:textId="77777777" w:rsidR="00171E6B" w:rsidRPr="003B4FB0" w:rsidRDefault="00171E6B" w:rsidP="003B4F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cheltuieli fără documente justificative;</w:t>
      </w:r>
    </w:p>
    <w:p w14:paraId="2DBD1C11" w14:textId="77777777" w:rsidR="00171E6B" w:rsidRPr="003B4FB0" w:rsidRDefault="00171E6B" w:rsidP="003B4F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cheltuieli neaprobate.</w:t>
      </w:r>
    </w:p>
    <w:p w14:paraId="4AEA8248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2194D049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12. CONTROL ȘI VERIFICARE</w:t>
      </w:r>
    </w:p>
    <w:p w14:paraId="650748F9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lastRenderedPageBreak/>
        <w:t>Departamentul financiar poate efectua verificări periodice privind:</w:t>
      </w:r>
    </w:p>
    <w:p w14:paraId="63876B18" w14:textId="77777777" w:rsidR="00171E6B" w:rsidRPr="003B4FB0" w:rsidRDefault="00171E6B" w:rsidP="003B4F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corectitudinea deconturilor;</w:t>
      </w:r>
    </w:p>
    <w:p w14:paraId="5D247479" w14:textId="77777777" w:rsidR="00171E6B" w:rsidRPr="003B4FB0" w:rsidRDefault="00171E6B" w:rsidP="003B4F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respectarea plafoanelor;</w:t>
      </w:r>
    </w:p>
    <w:p w14:paraId="5A95305B" w14:textId="77777777" w:rsidR="00171E6B" w:rsidRPr="003B4FB0" w:rsidRDefault="00171E6B" w:rsidP="003B4F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utilizarea cardurilor de companie.</w:t>
      </w:r>
    </w:p>
    <w:p w14:paraId="286CEA34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În cazul constatării unor nereguli, pot fi aplicate măsuri disciplinare conform regulamentului intern.</w:t>
      </w:r>
    </w:p>
    <w:p w14:paraId="756189E1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39F37766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13. ARHIVAREA DOCUMENTELOR</w:t>
      </w:r>
    </w:p>
    <w:p w14:paraId="4C3844DE" w14:textId="77777777" w:rsidR="00171E6B" w:rsidRPr="003B4FB0" w:rsidRDefault="00171E6B" w:rsidP="003B4FB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Documentele de decont se arhivează la departamentul financiar-contabil conform legislației contabile în vigoare.</w:t>
      </w:r>
    </w:p>
    <w:p w14:paraId="25B6D70F" w14:textId="77777777" w:rsidR="00171E6B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val="ro-RO" w:eastAsia="ro-RO"/>
        </w:rPr>
      </w:pPr>
    </w:p>
    <w:p w14:paraId="72652F31" w14:textId="77777777" w:rsidR="00171E6B" w:rsidRPr="0076789C" w:rsidRDefault="00171E6B" w:rsidP="003B4FB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</w:pPr>
      <w:r w:rsidRPr="0076789C">
        <w:rPr>
          <w:rFonts w:ascii="Times New Roman" w:hAnsi="Times New Roman"/>
          <w:b/>
          <w:bCs/>
          <w:kern w:val="36"/>
          <w:sz w:val="28"/>
          <w:szCs w:val="28"/>
          <w:lang w:val="ro-RO" w:eastAsia="ro-RO"/>
        </w:rPr>
        <w:t>14. DOCUMENTE ANEXATE</w:t>
      </w:r>
    </w:p>
    <w:p w14:paraId="2ED0555A" w14:textId="77777777" w:rsidR="00171E6B" w:rsidRPr="003B4FB0" w:rsidRDefault="00171E6B" w:rsidP="003B4F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formular de decont cheltuieli</w:t>
      </w:r>
    </w:p>
    <w:p w14:paraId="09671C90" w14:textId="77777777" w:rsidR="00171E6B" w:rsidRPr="003B4FB0" w:rsidRDefault="00171E6B" w:rsidP="003B4F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ordin de deplasare</w:t>
      </w:r>
    </w:p>
    <w:p w14:paraId="53BF82FF" w14:textId="77777777" w:rsidR="00171E6B" w:rsidRPr="003B4FB0" w:rsidRDefault="00171E6B" w:rsidP="003B4F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raport de deplasare</w:t>
      </w:r>
    </w:p>
    <w:p w14:paraId="751163CC" w14:textId="77777777" w:rsidR="00171E6B" w:rsidRPr="003B4FB0" w:rsidRDefault="00171E6B" w:rsidP="003B4F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3B4FB0">
        <w:rPr>
          <w:rFonts w:ascii="Times New Roman" w:hAnsi="Times New Roman"/>
          <w:sz w:val="24"/>
          <w:szCs w:val="24"/>
          <w:lang w:val="ro-RO" w:eastAsia="ro-RO"/>
        </w:rPr>
        <w:t>documente justificative (facturi, bonuri)</w:t>
      </w:r>
    </w:p>
    <w:p w14:paraId="372E9048" w14:textId="77777777" w:rsidR="00171E6B" w:rsidRPr="005E41DB" w:rsidRDefault="00171E6B" w:rsidP="005E41DB">
      <w:pPr>
        <w:rPr>
          <w:szCs w:val="24"/>
        </w:rPr>
      </w:pPr>
    </w:p>
    <w:sectPr w:rsidR="00171E6B" w:rsidRPr="005E41DB" w:rsidSect="0093681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3F6D" w14:textId="77777777" w:rsidR="00171E6B" w:rsidRDefault="00171E6B" w:rsidP="00766D36">
      <w:pPr>
        <w:spacing w:after="0" w:line="240" w:lineRule="auto"/>
      </w:pPr>
      <w:r>
        <w:separator/>
      </w:r>
    </w:p>
  </w:endnote>
  <w:endnote w:type="continuationSeparator" w:id="0">
    <w:p w14:paraId="2CBA1AF0" w14:textId="77777777" w:rsidR="00171E6B" w:rsidRDefault="00171E6B" w:rsidP="0076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E239" w14:textId="77777777" w:rsidR="00171E6B" w:rsidRDefault="00171E6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EE6692" w14:textId="77777777" w:rsidR="00171E6B" w:rsidRDefault="00171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E485" w14:textId="77777777" w:rsidR="00171E6B" w:rsidRDefault="00171E6B" w:rsidP="00766D36">
      <w:pPr>
        <w:spacing w:after="0" w:line="240" w:lineRule="auto"/>
      </w:pPr>
      <w:r>
        <w:separator/>
      </w:r>
    </w:p>
  </w:footnote>
  <w:footnote w:type="continuationSeparator" w:id="0">
    <w:p w14:paraId="20FFD654" w14:textId="77777777" w:rsidR="00171E6B" w:rsidRDefault="00171E6B" w:rsidP="0076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E77"/>
    <w:multiLevelType w:val="multilevel"/>
    <w:tmpl w:val="976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3BED"/>
    <w:multiLevelType w:val="hybridMultilevel"/>
    <w:tmpl w:val="DEC4991A"/>
    <w:lvl w:ilvl="0" w:tplc="8D16F3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82F"/>
    <w:multiLevelType w:val="hybridMultilevel"/>
    <w:tmpl w:val="401C04F4"/>
    <w:lvl w:ilvl="0" w:tplc="2940D6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2DB"/>
    <w:multiLevelType w:val="multilevel"/>
    <w:tmpl w:val="E18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F6621"/>
    <w:multiLevelType w:val="multilevel"/>
    <w:tmpl w:val="A2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11E9B"/>
    <w:multiLevelType w:val="multilevel"/>
    <w:tmpl w:val="B3D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E3D3F"/>
    <w:multiLevelType w:val="multilevel"/>
    <w:tmpl w:val="9F7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8223D"/>
    <w:multiLevelType w:val="multilevel"/>
    <w:tmpl w:val="6048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438FC"/>
    <w:multiLevelType w:val="multilevel"/>
    <w:tmpl w:val="D482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008EB"/>
    <w:multiLevelType w:val="multilevel"/>
    <w:tmpl w:val="91E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80C38"/>
    <w:multiLevelType w:val="multilevel"/>
    <w:tmpl w:val="C1C6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527D3"/>
    <w:multiLevelType w:val="multilevel"/>
    <w:tmpl w:val="E9A8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E1A3F"/>
    <w:multiLevelType w:val="multilevel"/>
    <w:tmpl w:val="3384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55A06"/>
    <w:multiLevelType w:val="multilevel"/>
    <w:tmpl w:val="A310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44AC3"/>
    <w:multiLevelType w:val="multilevel"/>
    <w:tmpl w:val="A996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13984"/>
    <w:multiLevelType w:val="multilevel"/>
    <w:tmpl w:val="943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F2B1F"/>
    <w:multiLevelType w:val="multilevel"/>
    <w:tmpl w:val="E426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72EC1"/>
    <w:multiLevelType w:val="multilevel"/>
    <w:tmpl w:val="D2C8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779F2"/>
    <w:multiLevelType w:val="hybridMultilevel"/>
    <w:tmpl w:val="1E561C60"/>
    <w:lvl w:ilvl="0" w:tplc="2940D6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F041A"/>
    <w:multiLevelType w:val="multilevel"/>
    <w:tmpl w:val="3594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A1119"/>
    <w:multiLevelType w:val="multilevel"/>
    <w:tmpl w:val="2DF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F219B"/>
    <w:multiLevelType w:val="multilevel"/>
    <w:tmpl w:val="4C0E2C8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EE2591C"/>
    <w:multiLevelType w:val="hybridMultilevel"/>
    <w:tmpl w:val="8070BB4C"/>
    <w:lvl w:ilvl="0" w:tplc="A70C1C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7537B6"/>
    <w:multiLevelType w:val="multilevel"/>
    <w:tmpl w:val="E858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F60553"/>
    <w:multiLevelType w:val="multilevel"/>
    <w:tmpl w:val="FE3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D562ED"/>
    <w:multiLevelType w:val="multilevel"/>
    <w:tmpl w:val="BBA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8371">
    <w:abstractNumId w:val="21"/>
  </w:num>
  <w:num w:numId="2" w16cid:durableId="852301089">
    <w:abstractNumId w:val="18"/>
  </w:num>
  <w:num w:numId="3" w16cid:durableId="989822287">
    <w:abstractNumId w:val="1"/>
  </w:num>
  <w:num w:numId="4" w16cid:durableId="2002923612">
    <w:abstractNumId w:val="2"/>
  </w:num>
  <w:num w:numId="5" w16cid:durableId="1100375882">
    <w:abstractNumId w:val="22"/>
  </w:num>
  <w:num w:numId="6" w16cid:durableId="1332021752">
    <w:abstractNumId w:val="24"/>
  </w:num>
  <w:num w:numId="7" w16cid:durableId="927422050">
    <w:abstractNumId w:val="6"/>
  </w:num>
  <w:num w:numId="8" w16cid:durableId="385374704">
    <w:abstractNumId w:val="25"/>
  </w:num>
  <w:num w:numId="9" w16cid:durableId="1596132151">
    <w:abstractNumId w:val="0"/>
  </w:num>
  <w:num w:numId="10" w16cid:durableId="1606300913">
    <w:abstractNumId w:val="10"/>
  </w:num>
  <w:num w:numId="11" w16cid:durableId="1634478764">
    <w:abstractNumId w:val="14"/>
  </w:num>
  <w:num w:numId="12" w16cid:durableId="372193985">
    <w:abstractNumId w:val="9"/>
  </w:num>
  <w:num w:numId="13" w16cid:durableId="2107921263">
    <w:abstractNumId w:val="5"/>
  </w:num>
  <w:num w:numId="14" w16cid:durableId="1209683528">
    <w:abstractNumId w:val="13"/>
  </w:num>
  <w:num w:numId="15" w16cid:durableId="790632935">
    <w:abstractNumId w:val="4"/>
  </w:num>
  <w:num w:numId="16" w16cid:durableId="2101749999">
    <w:abstractNumId w:val="12"/>
  </w:num>
  <w:num w:numId="17" w16cid:durableId="1241332611">
    <w:abstractNumId w:val="11"/>
  </w:num>
  <w:num w:numId="18" w16cid:durableId="1777096472">
    <w:abstractNumId w:val="8"/>
  </w:num>
  <w:num w:numId="19" w16cid:durableId="419565588">
    <w:abstractNumId w:val="15"/>
  </w:num>
  <w:num w:numId="20" w16cid:durableId="400829822">
    <w:abstractNumId w:val="19"/>
  </w:num>
  <w:num w:numId="21" w16cid:durableId="1449079703">
    <w:abstractNumId w:val="17"/>
  </w:num>
  <w:num w:numId="22" w16cid:durableId="666327570">
    <w:abstractNumId w:val="7"/>
  </w:num>
  <w:num w:numId="23" w16cid:durableId="684551069">
    <w:abstractNumId w:val="16"/>
  </w:num>
  <w:num w:numId="24" w16cid:durableId="516191920">
    <w:abstractNumId w:val="20"/>
  </w:num>
  <w:num w:numId="25" w16cid:durableId="440154252">
    <w:abstractNumId w:val="23"/>
  </w:num>
  <w:num w:numId="26" w16cid:durableId="11213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D7D64"/>
    <w:rsid w:val="000028ED"/>
    <w:rsid w:val="00002CA8"/>
    <w:rsid w:val="00002DE6"/>
    <w:rsid w:val="00011EB4"/>
    <w:rsid w:val="0001720C"/>
    <w:rsid w:val="000172C7"/>
    <w:rsid w:val="00017DD4"/>
    <w:rsid w:val="000234FA"/>
    <w:rsid w:val="00027A60"/>
    <w:rsid w:val="0003199A"/>
    <w:rsid w:val="00040B14"/>
    <w:rsid w:val="0004356B"/>
    <w:rsid w:val="00046231"/>
    <w:rsid w:val="00051411"/>
    <w:rsid w:val="00053048"/>
    <w:rsid w:val="00053349"/>
    <w:rsid w:val="000535CF"/>
    <w:rsid w:val="0005511C"/>
    <w:rsid w:val="000616AA"/>
    <w:rsid w:val="00067C52"/>
    <w:rsid w:val="00070B4F"/>
    <w:rsid w:val="0008220F"/>
    <w:rsid w:val="0009418A"/>
    <w:rsid w:val="000A71B6"/>
    <w:rsid w:val="000B22C0"/>
    <w:rsid w:val="000B6194"/>
    <w:rsid w:val="000C3A3B"/>
    <w:rsid w:val="000C5CC0"/>
    <w:rsid w:val="000D039D"/>
    <w:rsid w:val="000D373C"/>
    <w:rsid w:val="000E1856"/>
    <w:rsid w:val="000E3035"/>
    <w:rsid w:val="000E446E"/>
    <w:rsid w:val="000F2A8D"/>
    <w:rsid w:val="00111902"/>
    <w:rsid w:val="00112138"/>
    <w:rsid w:val="00126D75"/>
    <w:rsid w:val="001311AF"/>
    <w:rsid w:val="00137F7B"/>
    <w:rsid w:val="00171E6B"/>
    <w:rsid w:val="0018533A"/>
    <w:rsid w:val="001A41B5"/>
    <w:rsid w:val="001B04C7"/>
    <w:rsid w:val="001B1EDC"/>
    <w:rsid w:val="001B3AA5"/>
    <w:rsid w:val="001B5462"/>
    <w:rsid w:val="001B661A"/>
    <w:rsid w:val="001C0274"/>
    <w:rsid w:val="001C24BA"/>
    <w:rsid w:val="001E14E3"/>
    <w:rsid w:val="001E319B"/>
    <w:rsid w:val="001F01E2"/>
    <w:rsid w:val="001F0830"/>
    <w:rsid w:val="001F6FFE"/>
    <w:rsid w:val="002016EE"/>
    <w:rsid w:val="002049CE"/>
    <w:rsid w:val="00207B9E"/>
    <w:rsid w:val="00211374"/>
    <w:rsid w:val="00216F9F"/>
    <w:rsid w:val="00222733"/>
    <w:rsid w:val="002239C4"/>
    <w:rsid w:val="002242CB"/>
    <w:rsid w:val="00224E12"/>
    <w:rsid w:val="00231669"/>
    <w:rsid w:val="00232028"/>
    <w:rsid w:val="00240414"/>
    <w:rsid w:val="002472AE"/>
    <w:rsid w:val="00255584"/>
    <w:rsid w:val="00262F22"/>
    <w:rsid w:val="00267F7E"/>
    <w:rsid w:val="002745C2"/>
    <w:rsid w:val="00280E3A"/>
    <w:rsid w:val="002865B3"/>
    <w:rsid w:val="00291A79"/>
    <w:rsid w:val="002A07FC"/>
    <w:rsid w:val="002A1FED"/>
    <w:rsid w:val="002A6D4C"/>
    <w:rsid w:val="002B2525"/>
    <w:rsid w:val="002B27B4"/>
    <w:rsid w:val="002B388A"/>
    <w:rsid w:val="002C6746"/>
    <w:rsid w:val="002D7062"/>
    <w:rsid w:val="002F3FAB"/>
    <w:rsid w:val="003042A1"/>
    <w:rsid w:val="00305772"/>
    <w:rsid w:val="00311BF8"/>
    <w:rsid w:val="00313A26"/>
    <w:rsid w:val="00314AFA"/>
    <w:rsid w:val="00317D1B"/>
    <w:rsid w:val="003200DE"/>
    <w:rsid w:val="00320E1E"/>
    <w:rsid w:val="0032308B"/>
    <w:rsid w:val="00324063"/>
    <w:rsid w:val="003301B5"/>
    <w:rsid w:val="0033074B"/>
    <w:rsid w:val="00340026"/>
    <w:rsid w:val="00340BB4"/>
    <w:rsid w:val="00352D5B"/>
    <w:rsid w:val="0036336C"/>
    <w:rsid w:val="00374E02"/>
    <w:rsid w:val="0038415C"/>
    <w:rsid w:val="003922A0"/>
    <w:rsid w:val="003A15DB"/>
    <w:rsid w:val="003A1AEE"/>
    <w:rsid w:val="003B2AF0"/>
    <w:rsid w:val="003B4FB0"/>
    <w:rsid w:val="003B7D30"/>
    <w:rsid w:val="003C0AAE"/>
    <w:rsid w:val="003C2779"/>
    <w:rsid w:val="003C4C29"/>
    <w:rsid w:val="003D19A3"/>
    <w:rsid w:val="003D6F67"/>
    <w:rsid w:val="003E018C"/>
    <w:rsid w:val="003E5F97"/>
    <w:rsid w:val="003F14FB"/>
    <w:rsid w:val="003F2790"/>
    <w:rsid w:val="003F5B37"/>
    <w:rsid w:val="004023E1"/>
    <w:rsid w:val="00410F96"/>
    <w:rsid w:val="0042347A"/>
    <w:rsid w:val="00423A47"/>
    <w:rsid w:val="00425BAF"/>
    <w:rsid w:val="0043258B"/>
    <w:rsid w:val="00435639"/>
    <w:rsid w:val="0044625F"/>
    <w:rsid w:val="0045408F"/>
    <w:rsid w:val="00456312"/>
    <w:rsid w:val="004627AA"/>
    <w:rsid w:val="00462A57"/>
    <w:rsid w:val="00470CF1"/>
    <w:rsid w:val="00473EFD"/>
    <w:rsid w:val="0048077C"/>
    <w:rsid w:val="004813F6"/>
    <w:rsid w:val="004834DF"/>
    <w:rsid w:val="00485EE5"/>
    <w:rsid w:val="004A3462"/>
    <w:rsid w:val="004B7956"/>
    <w:rsid w:val="004D0FBD"/>
    <w:rsid w:val="004E034E"/>
    <w:rsid w:val="004E2058"/>
    <w:rsid w:val="004E3785"/>
    <w:rsid w:val="004E3A72"/>
    <w:rsid w:val="005004C7"/>
    <w:rsid w:val="00504320"/>
    <w:rsid w:val="005127B0"/>
    <w:rsid w:val="005168FB"/>
    <w:rsid w:val="00520275"/>
    <w:rsid w:val="00520EB6"/>
    <w:rsid w:val="0052439B"/>
    <w:rsid w:val="005440B2"/>
    <w:rsid w:val="00555DBF"/>
    <w:rsid w:val="00577A0F"/>
    <w:rsid w:val="005815B2"/>
    <w:rsid w:val="00581A2B"/>
    <w:rsid w:val="00581D86"/>
    <w:rsid w:val="005821A0"/>
    <w:rsid w:val="00591347"/>
    <w:rsid w:val="005945A0"/>
    <w:rsid w:val="005A5240"/>
    <w:rsid w:val="005B1DAE"/>
    <w:rsid w:val="005C0FC1"/>
    <w:rsid w:val="005C2550"/>
    <w:rsid w:val="005C3A11"/>
    <w:rsid w:val="005C58A9"/>
    <w:rsid w:val="005D1DAF"/>
    <w:rsid w:val="005E1BC4"/>
    <w:rsid w:val="005E41DB"/>
    <w:rsid w:val="00601224"/>
    <w:rsid w:val="00605E48"/>
    <w:rsid w:val="00612885"/>
    <w:rsid w:val="00615863"/>
    <w:rsid w:val="0061706E"/>
    <w:rsid w:val="00636A5A"/>
    <w:rsid w:val="00641AEB"/>
    <w:rsid w:val="00646271"/>
    <w:rsid w:val="00660E72"/>
    <w:rsid w:val="006637C9"/>
    <w:rsid w:val="00664EBD"/>
    <w:rsid w:val="00674512"/>
    <w:rsid w:val="00687E87"/>
    <w:rsid w:val="00691540"/>
    <w:rsid w:val="006B0D9F"/>
    <w:rsid w:val="006B0F44"/>
    <w:rsid w:val="006B1E9D"/>
    <w:rsid w:val="006B4203"/>
    <w:rsid w:val="006B4D97"/>
    <w:rsid w:val="006B6BE6"/>
    <w:rsid w:val="006C4808"/>
    <w:rsid w:val="006D3EDE"/>
    <w:rsid w:val="006D70FB"/>
    <w:rsid w:val="006F5F60"/>
    <w:rsid w:val="00703472"/>
    <w:rsid w:val="00705857"/>
    <w:rsid w:val="00707695"/>
    <w:rsid w:val="007110E9"/>
    <w:rsid w:val="00711109"/>
    <w:rsid w:val="00721CE7"/>
    <w:rsid w:val="007300AA"/>
    <w:rsid w:val="00730939"/>
    <w:rsid w:val="00736DE0"/>
    <w:rsid w:val="007412AE"/>
    <w:rsid w:val="0074153D"/>
    <w:rsid w:val="00742EF9"/>
    <w:rsid w:val="00745939"/>
    <w:rsid w:val="00750D9B"/>
    <w:rsid w:val="00752460"/>
    <w:rsid w:val="00752558"/>
    <w:rsid w:val="00752643"/>
    <w:rsid w:val="00755539"/>
    <w:rsid w:val="0076579C"/>
    <w:rsid w:val="00766D36"/>
    <w:rsid w:val="0076789C"/>
    <w:rsid w:val="00783E5B"/>
    <w:rsid w:val="00784A9C"/>
    <w:rsid w:val="007916F2"/>
    <w:rsid w:val="007A512A"/>
    <w:rsid w:val="007A52B3"/>
    <w:rsid w:val="007B05CB"/>
    <w:rsid w:val="007B35DA"/>
    <w:rsid w:val="007B43D3"/>
    <w:rsid w:val="007B6A66"/>
    <w:rsid w:val="007B71E4"/>
    <w:rsid w:val="007C0695"/>
    <w:rsid w:val="007C4629"/>
    <w:rsid w:val="007F0160"/>
    <w:rsid w:val="007F03FC"/>
    <w:rsid w:val="007F7763"/>
    <w:rsid w:val="00800A14"/>
    <w:rsid w:val="0080164E"/>
    <w:rsid w:val="00801E64"/>
    <w:rsid w:val="00803DDC"/>
    <w:rsid w:val="00804309"/>
    <w:rsid w:val="00805A56"/>
    <w:rsid w:val="00811352"/>
    <w:rsid w:val="00813C8F"/>
    <w:rsid w:val="00820298"/>
    <w:rsid w:val="0082638C"/>
    <w:rsid w:val="00831410"/>
    <w:rsid w:val="00832BF1"/>
    <w:rsid w:val="00845A75"/>
    <w:rsid w:val="00854200"/>
    <w:rsid w:val="0085595A"/>
    <w:rsid w:val="008565B1"/>
    <w:rsid w:val="00856625"/>
    <w:rsid w:val="00865BCD"/>
    <w:rsid w:val="00865BFF"/>
    <w:rsid w:val="0087041B"/>
    <w:rsid w:val="008756E4"/>
    <w:rsid w:val="008854CA"/>
    <w:rsid w:val="008959AA"/>
    <w:rsid w:val="008B2B59"/>
    <w:rsid w:val="008B4621"/>
    <w:rsid w:val="008B560D"/>
    <w:rsid w:val="008B7E66"/>
    <w:rsid w:val="008C3678"/>
    <w:rsid w:val="008C73DD"/>
    <w:rsid w:val="008D6496"/>
    <w:rsid w:val="008E12B9"/>
    <w:rsid w:val="00911F42"/>
    <w:rsid w:val="00916D53"/>
    <w:rsid w:val="00920ACB"/>
    <w:rsid w:val="00936813"/>
    <w:rsid w:val="00937E9D"/>
    <w:rsid w:val="00945028"/>
    <w:rsid w:val="00954664"/>
    <w:rsid w:val="00961DC3"/>
    <w:rsid w:val="00972233"/>
    <w:rsid w:val="0099569B"/>
    <w:rsid w:val="009A3095"/>
    <w:rsid w:val="009A606B"/>
    <w:rsid w:val="009A62F1"/>
    <w:rsid w:val="009B4F66"/>
    <w:rsid w:val="009B7D30"/>
    <w:rsid w:val="009D02BC"/>
    <w:rsid w:val="009D02F6"/>
    <w:rsid w:val="009D248E"/>
    <w:rsid w:val="00A16990"/>
    <w:rsid w:val="00A21D77"/>
    <w:rsid w:val="00A22F66"/>
    <w:rsid w:val="00A250E0"/>
    <w:rsid w:val="00A2699D"/>
    <w:rsid w:val="00A30C83"/>
    <w:rsid w:val="00A31026"/>
    <w:rsid w:val="00A31C8E"/>
    <w:rsid w:val="00A32F4E"/>
    <w:rsid w:val="00A40374"/>
    <w:rsid w:val="00A4348F"/>
    <w:rsid w:val="00A46C9C"/>
    <w:rsid w:val="00A60AFA"/>
    <w:rsid w:val="00A75F9C"/>
    <w:rsid w:val="00A77320"/>
    <w:rsid w:val="00A94F45"/>
    <w:rsid w:val="00AA4B9A"/>
    <w:rsid w:val="00AA5348"/>
    <w:rsid w:val="00AA6B7E"/>
    <w:rsid w:val="00AB55B9"/>
    <w:rsid w:val="00AC07A5"/>
    <w:rsid w:val="00AC47D3"/>
    <w:rsid w:val="00AC4DFE"/>
    <w:rsid w:val="00AE3C70"/>
    <w:rsid w:val="00AF15D9"/>
    <w:rsid w:val="00B02E78"/>
    <w:rsid w:val="00B0341A"/>
    <w:rsid w:val="00B14802"/>
    <w:rsid w:val="00B2041C"/>
    <w:rsid w:val="00B21695"/>
    <w:rsid w:val="00B32D76"/>
    <w:rsid w:val="00B35285"/>
    <w:rsid w:val="00B408AF"/>
    <w:rsid w:val="00B469EA"/>
    <w:rsid w:val="00B5014C"/>
    <w:rsid w:val="00B71EDF"/>
    <w:rsid w:val="00B729CC"/>
    <w:rsid w:val="00B839A6"/>
    <w:rsid w:val="00B85F8A"/>
    <w:rsid w:val="00B91C13"/>
    <w:rsid w:val="00BA4810"/>
    <w:rsid w:val="00BC2266"/>
    <w:rsid w:val="00BC653A"/>
    <w:rsid w:val="00BD443B"/>
    <w:rsid w:val="00BD7410"/>
    <w:rsid w:val="00BD7D64"/>
    <w:rsid w:val="00BE5BCD"/>
    <w:rsid w:val="00BF316E"/>
    <w:rsid w:val="00C07F58"/>
    <w:rsid w:val="00C130A7"/>
    <w:rsid w:val="00C152D5"/>
    <w:rsid w:val="00C21671"/>
    <w:rsid w:val="00C32BFA"/>
    <w:rsid w:val="00C33278"/>
    <w:rsid w:val="00C33FE7"/>
    <w:rsid w:val="00C360D1"/>
    <w:rsid w:val="00C41208"/>
    <w:rsid w:val="00C41682"/>
    <w:rsid w:val="00C51119"/>
    <w:rsid w:val="00C532CB"/>
    <w:rsid w:val="00C66DA7"/>
    <w:rsid w:val="00C91129"/>
    <w:rsid w:val="00C9328B"/>
    <w:rsid w:val="00CA156C"/>
    <w:rsid w:val="00CA3672"/>
    <w:rsid w:val="00CB51C2"/>
    <w:rsid w:val="00CB57F4"/>
    <w:rsid w:val="00CD07A4"/>
    <w:rsid w:val="00CE1684"/>
    <w:rsid w:val="00CF2046"/>
    <w:rsid w:val="00CF2B51"/>
    <w:rsid w:val="00CF4A54"/>
    <w:rsid w:val="00CF4F83"/>
    <w:rsid w:val="00CF5ACE"/>
    <w:rsid w:val="00CF6224"/>
    <w:rsid w:val="00D05B70"/>
    <w:rsid w:val="00D1559C"/>
    <w:rsid w:val="00D2796D"/>
    <w:rsid w:val="00D3585A"/>
    <w:rsid w:val="00D47BA6"/>
    <w:rsid w:val="00D53EEC"/>
    <w:rsid w:val="00D56DA6"/>
    <w:rsid w:val="00D61856"/>
    <w:rsid w:val="00D75D9D"/>
    <w:rsid w:val="00D77909"/>
    <w:rsid w:val="00D828A0"/>
    <w:rsid w:val="00DA371C"/>
    <w:rsid w:val="00DA3DF9"/>
    <w:rsid w:val="00DA59C2"/>
    <w:rsid w:val="00DA6B35"/>
    <w:rsid w:val="00DD3CCE"/>
    <w:rsid w:val="00DD5C97"/>
    <w:rsid w:val="00DE00C8"/>
    <w:rsid w:val="00DE2273"/>
    <w:rsid w:val="00DE2CE2"/>
    <w:rsid w:val="00DF358B"/>
    <w:rsid w:val="00DF5497"/>
    <w:rsid w:val="00E14BB9"/>
    <w:rsid w:val="00E207AC"/>
    <w:rsid w:val="00E208BB"/>
    <w:rsid w:val="00E22E5C"/>
    <w:rsid w:val="00E44438"/>
    <w:rsid w:val="00E61E4B"/>
    <w:rsid w:val="00E71CB0"/>
    <w:rsid w:val="00E805FB"/>
    <w:rsid w:val="00E851B2"/>
    <w:rsid w:val="00E93EB8"/>
    <w:rsid w:val="00EA08C8"/>
    <w:rsid w:val="00EC61BC"/>
    <w:rsid w:val="00EC7936"/>
    <w:rsid w:val="00ED0629"/>
    <w:rsid w:val="00ED4E85"/>
    <w:rsid w:val="00ED6792"/>
    <w:rsid w:val="00ED73AA"/>
    <w:rsid w:val="00EE75F0"/>
    <w:rsid w:val="00EF10E3"/>
    <w:rsid w:val="00F02338"/>
    <w:rsid w:val="00F03A13"/>
    <w:rsid w:val="00F16D19"/>
    <w:rsid w:val="00F23ADF"/>
    <w:rsid w:val="00F268A1"/>
    <w:rsid w:val="00F51651"/>
    <w:rsid w:val="00F5632A"/>
    <w:rsid w:val="00F63935"/>
    <w:rsid w:val="00F747D5"/>
    <w:rsid w:val="00F83DC8"/>
    <w:rsid w:val="00F848FB"/>
    <w:rsid w:val="00F84D9D"/>
    <w:rsid w:val="00F85828"/>
    <w:rsid w:val="00F86F4E"/>
    <w:rsid w:val="00FB52A2"/>
    <w:rsid w:val="00FB6D87"/>
    <w:rsid w:val="00FC1BC0"/>
    <w:rsid w:val="00FD1192"/>
    <w:rsid w:val="00FE281F"/>
    <w:rsid w:val="00FE46A6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6BCEC"/>
  <w15:docId w15:val="{5E31A5B3-BF9B-49FF-B61D-00AA08EF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81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3B4F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o-RO" w:eastAsia="ro-RO"/>
    </w:rPr>
  </w:style>
  <w:style w:type="paragraph" w:styleId="Heading2">
    <w:name w:val="heading 2"/>
    <w:basedOn w:val="Normal"/>
    <w:link w:val="Heading2Char"/>
    <w:uiPriority w:val="99"/>
    <w:qFormat/>
    <w:locked/>
    <w:rsid w:val="003B4FB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BD7D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40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6D3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6D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66D3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6D36"/>
    <w:rPr>
      <w:rFonts w:cs="Times New Roman"/>
    </w:rPr>
  </w:style>
  <w:style w:type="paragraph" w:styleId="NormalWeb">
    <w:name w:val="Normal (Web)"/>
    <w:basedOn w:val="Normal"/>
    <w:uiPriority w:val="99"/>
    <w:rsid w:val="003B4F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99"/>
    <w:qFormat/>
    <w:locked/>
    <w:rsid w:val="003B4F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2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________________________ SRL</dc:title>
  <dc:subject/>
  <dc:creator>Oana</dc:creator>
  <cp:keywords/>
  <dc:description/>
  <cp:lastModifiedBy>Georgiana</cp:lastModifiedBy>
  <cp:revision>17</cp:revision>
  <dcterms:created xsi:type="dcterms:W3CDTF">2024-03-08T07:34:00Z</dcterms:created>
  <dcterms:modified xsi:type="dcterms:W3CDTF">2026-05-07T11:30:00Z</dcterms:modified>
</cp:coreProperties>
</file>