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7108" w14:textId="77777777" w:rsidR="00A61BEB" w:rsidRDefault="00EF2119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6573AA1B" w14:textId="77777777" w:rsidR="00EF2119" w:rsidRDefault="00EF2119" w:rsidP="00EF2119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</w:p>
    <w:p w14:paraId="3D990045" w14:textId="22EC7C92" w:rsidR="00A61BEB" w:rsidRPr="00EF2119" w:rsidRDefault="00EF2119" w:rsidP="00EF2119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  <w:r w:rsidRPr="00EF2119">
        <w:rPr>
          <w:rFonts w:ascii="Times New Roman" w:hAnsi="Times New Roman" w:cs="Times New Roman"/>
          <w:sz w:val="36"/>
          <w:szCs w:val="36"/>
        </w:rPr>
        <w:t>PROCEDURĂ</w:t>
      </w:r>
    </w:p>
    <w:p w14:paraId="31AC3208" w14:textId="31D9B46B" w:rsidR="00A61BEB" w:rsidRPr="00EF2119" w:rsidRDefault="00EF2119" w:rsidP="00EF2119">
      <w:pPr>
        <w:pStyle w:val="NormalWeb"/>
        <w:jc w:val="center"/>
        <w:rPr>
          <w:sz w:val="36"/>
          <w:szCs w:val="36"/>
        </w:rPr>
      </w:pPr>
      <w:r w:rsidRPr="00EF2119">
        <w:rPr>
          <w:sz w:val="36"/>
          <w:szCs w:val="36"/>
        </w:rPr>
        <w:t>privind cheltuielile de deplasare și protocol</w:t>
      </w:r>
    </w:p>
    <w:p w14:paraId="36082404" w14:textId="77777777" w:rsidR="00A61BEB" w:rsidRDefault="00A61BEB">
      <w:pPr>
        <w:pStyle w:val="Heading2"/>
        <w:rPr>
          <w:rStyle w:val="Strong"/>
          <w:bCs w:val="0"/>
        </w:rPr>
      </w:pPr>
    </w:p>
    <w:p w14:paraId="715A6F63" w14:textId="77777777" w:rsidR="00A61BEB" w:rsidRDefault="00EF2119">
      <w:pPr>
        <w:pStyle w:val="Heading2"/>
      </w:pPr>
      <w:r>
        <w:rPr>
          <w:rStyle w:val="Strong"/>
          <w:bCs w:val="0"/>
        </w:rPr>
        <w:t>ANTET</w:t>
      </w:r>
    </w:p>
    <w:p w14:paraId="3570232D" w14:textId="54CFFA85" w:rsidR="00A61BEB" w:rsidRDefault="00EF2119">
      <w:pPr>
        <w:pStyle w:val="NormalWeb"/>
      </w:pPr>
      <w:r>
        <w:rPr>
          <w:rStyle w:val="Strong"/>
        </w:rPr>
        <w:t>Denumirea societății:</w:t>
      </w:r>
      <w:r>
        <w:t xml:space="preserve"> ........................................................</w:t>
      </w:r>
      <w:r>
        <w:br/>
      </w:r>
      <w:r>
        <w:rPr>
          <w:rStyle w:val="Strong"/>
        </w:rPr>
        <w:t>Forma juridică:</w:t>
      </w:r>
      <w:r>
        <w:t xml:space="preserve"> SRL / SA</w:t>
      </w:r>
      <w:r>
        <w:br/>
      </w:r>
      <w:r>
        <w:rPr>
          <w:rStyle w:val="Strong"/>
        </w:rPr>
        <w:t>Sediul social: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Nr. procedură:</w:t>
      </w:r>
      <w:r>
        <w:br/>
      </w:r>
      <w:r>
        <w:rPr>
          <w:rStyle w:val="Strong"/>
        </w:rPr>
        <w:t>Data intrării în vigoare:</w:t>
      </w:r>
      <w:r>
        <w:t xml:space="preserve"> ..................................................</w:t>
      </w:r>
      <w:r>
        <w:br/>
      </w:r>
      <w:r>
        <w:rPr>
          <w:rStyle w:val="Strong"/>
        </w:rPr>
        <w:t>Aprobat de Director General:</w:t>
      </w:r>
      <w:r>
        <w:t xml:space="preserve"> .............................................</w:t>
      </w:r>
      <w:r>
        <w:br/>
      </w:r>
      <w:r>
        <w:rPr>
          <w:rStyle w:val="Strong"/>
        </w:rPr>
        <w:t>Semnătura:</w:t>
      </w:r>
      <w:r>
        <w:t xml:space="preserve"> .................................................................</w:t>
      </w:r>
    </w:p>
    <w:p w14:paraId="2A0232B7" w14:textId="77777777" w:rsidR="00A61BEB" w:rsidRDefault="00A61BEB">
      <w:pPr>
        <w:pStyle w:val="Heading2"/>
        <w:rPr>
          <w:rStyle w:val="Strong"/>
          <w:bCs w:val="0"/>
        </w:rPr>
      </w:pPr>
    </w:p>
    <w:p w14:paraId="31606741" w14:textId="77777777" w:rsidR="00A61BEB" w:rsidRPr="00EF2119" w:rsidRDefault="00EF2119">
      <w:pPr>
        <w:pStyle w:val="Heading2"/>
        <w:rPr>
          <w:rFonts w:ascii="Times New Roman" w:hAnsi="Times New Roman" w:cs="Times New Roman"/>
          <w:b w:val="0"/>
          <w:i w:val="0"/>
          <w:iCs/>
          <w:szCs w:val="28"/>
        </w:rPr>
      </w:pPr>
      <w:r w:rsidRPr="00EF2119">
        <w:rPr>
          <w:rStyle w:val="Strong"/>
          <w:rFonts w:ascii="Times New Roman" w:hAnsi="Times New Roman" w:cs="Times New Roman"/>
          <w:b/>
          <w:i w:val="0"/>
          <w:iCs/>
          <w:szCs w:val="28"/>
        </w:rPr>
        <w:t>1. Scopul procedurii</w:t>
      </w:r>
    </w:p>
    <w:p w14:paraId="5A65FB1C" w14:textId="77777777" w:rsidR="00A61BEB" w:rsidRPr="00EF2119" w:rsidRDefault="00EF2119">
      <w:pPr>
        <w:pStyle w:val="NormalWeb"/>
      </w:pPr>
      <w:r w:rsidRPr="00EF2119">
        <w:t>Prezenta procedură stabilește regulile, limitele și responsabilitățile privind efectuarea, aprobarea și decontarea cheltuielilor de deplasare și protocol, în scopul asigurării unui control financiar riguros, al utilizării eficiente a resurselor companiei și al respectării legislației fiscale aplicabile.</w:t>
      </w:r>
    </w:p>
    <w:p w14:paraId="155F3A7D" w14:textId="77777777" w:rsidR="00A61BEB" w:rsidRPr="00EF2119" w:rsidRDefault="00EF2119">
      <w:pPr>
        <w:pStyle w:val="NormalWeb"/>
      </w:pPr>
      <w:r w:rsidRPr="00EF2119">
        <w:t>Procedura urmărește prevenirea cheltuielilor nejustificate, excesive sau neconforme, precum și asigurarea trasabilității și documentării complete a acestora.</w:t>
      </w:r>
    </w:p>
    <w:p w14:paraId="015394AC" w14:textId="77777777" w:rsidR="00A61BEB" w:rsidRPr="00EF2119" w:rsidRDefault="00A61BEB">
      <w:pPr>
        <w:pStyle w:val="Heading2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7E7B33FE" w14:textId="77777777" w:rsidR="00A61BEB" w:rsidRPr="00EF2119" w:rsidRDefault="00EF2119">
      <w:pPr>
        <w:pStyle w:val="Heading2"/>
        <w:rPr>
          <w:rFonts w:ascii="Times New Roman" w:hAnsi="Times New Roman" w:cs="Times New Roman"/>
          <w:b w:val="0"/>
          <w:i w:val="0"/>
          <w:iCs/>
          <w:szCs w:val="28"/>
        </w:rPr>
      </w:pPr>
      <w:r w:rsidRPr="00EF2119">
        <w:rPr>
          <w:rStyle w:val="Strong"/>
          <w:rFonts w:ascii="Times New Roman" w:hAnsi="Times New Roman" w:cs="Times New Roman"/>
          <w:b/>
          <w:i w:val="0"/>
          <w:iCs/>
          <w:szCs w:val="28"/>
        </w:rPr>
        <w:t>2. Domeniul de aplicare</w:t>
      </w:r>
    </w:p>
    <w:p w14:paraId="5786893D" w14:textId="77777777" w:rsidR="00A61BEB" w:rsidRPr="00EF2119" w:rsidRDefault="00EF2119">
      <w:pPr>
        <w:pStyle w:val="NormalWeb"/>
      </w:pPr>
      <w:r w:rsidRPr="00EF2119">
        <w:t>Procedura se aplică:</w:t>
      </w:r>
    </w:p>
    <w:p w14:paraId="5F4BD92D" w14:textId="77777777" w:rsidR="00A61BEB" w:rsidRPr="00EF2119" w:rsidRDefault="00EF2119">
      <w:pPr>
        <w:pStyle w:val="NormalWeb"/>
        <w:numPr>
          <w:ilvl w:val="0"/>
          <w:numId w:val="3"/>
        </w:numPr>
      </w:pPr>
      <w:r w:rsidRPr="00EF2119">
        <w:t>tuturor deplasărilor interne și externe efectuate în interes de serviciu;</w:t>
      </w:r>
    </w:p>
    <w:p w14:paraId="7BD78263" w14:textId="77777777" w:rsidR="00A61BEB" w:rsidRPr="00EF2119" w:rsidRDefault="00EF2119">
      <w:pPr>
        <w:pStyle w:val="NormalWeb"/>
        <w:numPr>
          <w:ilvl w:val="0"/>
          <w:numId w:val="3"/>
        </w:numPr>
      </w:pPr>
      <w:r w:rsidRPr="00EF2119">
        <w:t>tuturor cheltuielilor de protocol suportate de companie;</w:t>
      </w:r>
    </w:p>
    <w:p w14:paraId="15B21783" w14:textId="77777777" w:rsidR="00A61BEB" w:rsidRPr="00EF2119" w:rsidRDefault="00EF2119">
      <w:pPr>
        <w:pStyle w:val="NormalWeb"/>
        <w:numPr>
          <w:ilvl w:val="0"/>
          <w:numId w:val="3"/>
        </w:numPr>
      </w:pPr>
      <w:r w:rsidRPr="00EF2119">
        <w:t>tuturor angajaților și colaboratorilor care efectuează deplasări sau acțiuni de protocol;</w:t>
      </w:r>
    </w:p>
    <w:p w14:paraId="6C3CC6B1" w14:textId="77777777" w:rsidR="00A61BEB" w:rsidRPr="00EF2119" w:rsidRDefault="00EF2119">
      <w:pPr>
        <w:pStyle w:val="NormalWeb"/>
        <w:numPr>
          <w:ilvl w:val="0"/>
          <w:numId w:val="3"/>
        </w:numPr>
      </w:pPr>
      <w:r w:rsidRPr="00EF2119">
        <w:t>tuturor documentelor justificative aferente.</w:t>
      </w:r>
    </w:p>
    <w:p w14:paraId="729F66CA" w14:textId="77777777" w:rsidR="00A61BEB" w:rsidRPr="00EF2119" w:rsidRDefault="00A61BEB">
      <w:pPr>
        <w:pStyle w:val="Heading2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68374233" w14:textId="77777777" w:rsidR="00A61BEB" w:rsidRPr="00EF2119" w:rsidRDefault="00EF2119">
      <w:pPr>
        <w:pStyle w:val="Heading2"/>
        <w:rPr>
          <w:rFonts w:ascii="Times New Roman" w:hAnsi="Times New Roman" w:cs="Times New Roman"/>
          <w:b w:val="0"/>
          <w:i w:val="0"/>
          <w:iCs/>
          <w:szCs w:val="28"/>
        </w:rPr>
      </w:pPr>
      <w:r w:rsidRPr="00EF2119">
        <w:rPr>
          <w:rStyle w:val="Strong"/>
          <w:rFonts w:ascii="Times New Roman" w:hAnsi="Times New Roman" w:cs="Times New Roman"/>
          <w:b/>
          <w:i w:val="0"/>
          <w:iCs/>
          <w:szCs w:val="28"/>
        </w:rPr>
        <w:t>3. Baza legală și de referință</w:t>
      </w:r>
    </w:p>
    <w:p w14:paraId="2AF3913F" w14:textId="77777777" w:rsidR="00A61BEB" w:rsidRPr="00EF2119" w:rsidRDefault="00EF2119">
      <w:pPr>
        <w:pStyle w:val="NormalWeb"/>
      </w:pPr>
      <w:r w:rsidRPr="00EF2119">
        <w:t>Prezenta procedură este elaborată în conformitate cu:</w:t>
      </w:r>
    </w:p>
    <w:p w14:paraId="5D17D4E2" w14:textId="77777777" w:rsidR="00A61BEB" w:rsidRPr="00EF2119" w:rsidRDefault="00EF2119">
      <w:pPr>
        <w:pStyle w:val="NormalWeb"/>
        <w:numPr>
          <w:ilvl w:val="0"/>
          <w:numId w:val="14"/>
        </w:numPr>
      </w:pPr>
      <w:r w:rsidRPr="00EF2119">
        <w:t>legislația fiscală și contabilă în vigoare;</w:t>
      </w:r>
    </w:p>
    <w:p w14:paraId="764EC860" w14:textId="77777777" w:rsidR="00A61BEB" w:rsidRPr="00EF2119" w:rsidRDefault="00EF2119">
      <w:pPr>
        <w:pStyle w:val="NormalWeb"/>
        <w:numPr>
          <w:ilvl w:val="0"/>
          <w:numId w:val="14"/>
        </w:numPr>
      </w:pPr>
      <w:r w:rsidRPr="00EF2119">
        <w:t>Codul muncii;</w:t>
      </w:r>
    </w:p>
    <w:p w14:paraId="476A08C1" w14:textId="77777777" w:rsidR="00A61BEB" w:rsidRPr="00EF2119" w:rsidRDefault="00EF2119">
      <w:pPr>
        <w:pStyle w:val="NormalWeb"/>
        <w:numPr>
          <w:ilvl w:val="0"/>
          <w:numId w:val="14"/>
        </w:numPr>
      </w:pPr>
      <w:r w:rsidRPr="00EF2119">
        <w:t>reglementările privind controlul intern;</w:t>
      </w:r>
    </w:p>
    <w:p w14:paraId="49DEB3F2" w14:textId="77777777" w:rsidR="00A61BEB" w:rsidRPr="00EF2119" w:rsidRDefault="00EF2119">
      <w:pPr>
        <w:pStyle w:val="NormalWeb"/>
        <w:numPr>
          <w:ilvl w:val="0"/>
          <w:numId w:val="14"/>
        </w:numPr>
      </w:pPr>
      <w:r w:rsidRPr="00EF2119">
        <w:t>politicile financiare interne;</w:t>
      </w:r>
    </w:p>
    <w:p w14:paraId="7FAA30F6" w14:textId="77777777" w:rsidR="00A61BEB" w:rsidRPr="00EF2119" w:rsidRDefault="00EF2119">
      <w:pPr>
        <w:pStyle w:val="NormalWeb"/>
        <w:numPr>
          <w:ilvl w:val="0"/>
          <w:numId w:val="14"/>
        </w:numPr>
      </w:pPr>
      <w:r w:rsidRPr="00EF2119">
        <w:t>bune practici de guvernanță corporativă.</w:t>
      </w:r>
    </w:p>
    <w:p w14:paraId="3F255CB5" w14:textId="77777777" w:rsidR="00A61BEB" w:rsidRPr="00EF2119" w:rsidRDefault="00A61BEB">
      <w:pPr>
        <w:pStyle w:val="Heading2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176251AA" w14:textId="77777777" w:rsidR="00A61BEB" w:rsidRPr="00EF2119" w:rsidRDefault="00EF2119">
      <w:pPr>
        <w:pStyle w:val="Heading2"/>
        <w:rPr>
          <w:rFonts w:ascii="Times New Roman" w:hAnsi="Times New Roman" w:cs="Times New Roman"/>
          <w:b w:val="0"/>
          <w:i w:val="0"/>
          <w:iCs/>
          <w:szCs w:val="28"/>
        </w:rPr>
      </w:pPr>
      <w:r w:rsidRPr="00EF2119">
        <w:rPr>
          <w:rStyle w:val="Strong"/>
          <w:rFonts w:ascii="Times New Roman" w:hAnsi="Times New Roman" w:cs="Times New Roman"/>
          <w:b/>
          <w:i w:val="0"/>
          <w:iCs/>
          <w:szCs w:val="28"/>
        </w:rPr>
        <w:t>4. Definiții</w:t>
      </w:r>
    </w:p>
    <w:p w14:paraId="31E3AC4B" w14:textId="77777777" w:rsidR="00A61BEB" w:rsidRPr="00EF2119" w:rsidRDefault="00EF2119">
      <w:pPr>
        <w:pStyle w:val="NormalWeb"/>
        <w:numPr>
          <w:ilvl w:val="0"/>
          <w:numId w:val="10"/>
        </w:numPr>
      </w:pPr>
      <w:r w:rsidRPr="00EF2119">
        <w:rPr>
          <w:rStyle w:val="Strong"/>
        </w:rPr>
        <w:t>Deplasare</w:t>
      </w:r>
      <w:r w:rsidRPr="00EF2119">
        <w:t xml:space="preserve"> – deplasarea temporară a unui angajat în interes de serviciu;</w:t>
      </w:r>
    </w:p>
    <w:p w14:paraId="0655824E" w14:textId="77777777" w:rsidR="00A61BEB" w:rsidRPr="00EF2119" w:rsidRDefault="00EF2119">
      <w:pPr>
        <w:pStyle w:val="NormalWeb"/>
        <w:numPr>
          <w:ilvl w:val="0"/>
          <w:numId w:val="10"/>
        </w:numPr>
      </w:pPr>
      <w:r w:rsidRPr="00EF2119">
        <w:rPr>
          <w:rStyle w:val="Strong"/>
        </w:rPr>
        <w:t>Protocol</w:t>
      </w:r>
      <w:r w:rsidRPr="00EF2119">
        <w:t xml:space="preserve"> – cheltuieli efectuate pentru reprezentarea companiei;</w:t>
      </w:r>
    </w:p>
    <w:p w14:paraId="1974A1A3" w14:textId="77777777" w:rsidR="00A61BEB" w:rsidRPr="00EF2119" w:rsidRDefault="00EF2119">
      <w:pPr>
        <w:pStyle w:val="NormalWeb"/>
        <w:numPr>
          <w:ilvl w:val="0"/>
          <w:numId w:val="10"/>
        </w:numPr>
      </w:pPr>
      <w:r w:rsidRPr="00EF2119">
        <w:rPr>
          <w:rStyle w:val="Strong"/>
        </w:rPr>
        <w:t>Diurnă</w:t>
      </w:r>
      <w:r w:rsidRPr="00EF2119">
        <w:t xml:space="preserve"> – indemnizație zilnică acordată pentru deplasare;</w:t>
      </w:r>
    </w:p>
    <w:p w14:paraId="2A699FA4" w14:textId="77777777" w:rsidR="00A61BEB" w:rsidRPr="00EF2119" w:rsidRDefault="00EF2119">
      <w:pPr>
        <w:pStyle w:val="NormalWeb"/>
        <w:numPr>
          <w:ilvl w:val="0"/>
          <w:numId w:val="10"/>
        </w:numPr>
      </w:pPr>
      <w:r w:rsidRPr="00EF2119">
        <w:rPr>
          <w:rStyle w:val="Strong"/>
        </w:rPr>
        <w:t>Decont</w:t>
      </w:r>
      <w:r w:rsidRPr="00EF2119">
        <w:t xml:space="preserve"> – documentul prin care se justifică cheltuielile efectuate.</w:t>
      </w:r>
    </w:p>
    <w:p w14:paraId="311E1D9D" w14:textId="77777777" w:rsidR="00A61BEB" w:rsidRPr="00EF2119" w:rsidRDefault="00A61BEB">
      <w:pPr>
        <w:pStyle w:val="Heading2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6B62CB00" w14:textId="77777777" w:rsidR="00A61BEB" w:rsidRPr="00EF2119" w:rsidRDefault="00EF2119">
      <w:pPr>
        <w:pStyle w:val="Heading2"/>
        <w:rPr>
          <w:rFonts w:ascii="Times New Roman" w:hAnsi="Times New Roman" w:cs="Times New Roman"/>
          <w:b w:val="0"/>
          <w:i w:val="0"/>
          <w:iCs/>
          <w:szCs w:val="28"/>
        </w:rPr>
      </w:pPr>
      <w:r w:rsidRPr="00EF2119">
        <w:rPr>
          <w:rStyle w:val="Strong"/>
          <w:rFonts w:ascii="Times New Roman" w:hAnsi="Times New Roman" w:cs="Times New Roman"/>
          <w:b/>
          <w:i w:val="0"/>
          <w:iCs/>
          <w:szCs w:val="28"/>
        </w:rPr>
        <w:t>5. Principii generale</w:t>
      </w:r>
    </w:p>
    <w:p w14:paraId="4812BD54" w14:textId="77777777" w:rsidR="00A61BEB" w:rsidRPr="00EF2119" w:rsidRDefault="00EF2119">
      <w:pPr>
        <w:pStyle w:val="NormalWeb"/>
      </w:pPr>
      <w:r w:rsidRPr="00EF2119">
        <w:t xml:space="preserve">Cheltuielile de deplasare și protocol se </w:t>
      </w:r>
      <w:r w:rsidRPr="00EF2119">
        <w:t>efectuează cu respectarea:</w:t>
      </w:r>
    </w:p>
    <w:p w14:paraId="11F622F3" w14:textId="77777777" w:rsidR="00A61BEB" w:rsidRPr="00EF2119" w:rsidRDefault="00EF2119">
      <w:pPr>
        <w:pStyle w:val="NormalWeb"/>
        <w:numPr>
          <w:ilvl w:val="0"/>
          <w:numId w:val="15"/>
        </w:numPr>
      </w:pPr>
      <w:r w:rsidRPr="00EF2119">
        <w:t>necesității și oportunității;</w:t>
      </w:r>
    </w:p>
    <w:p w14:paraId="2AA7792E" w14:textId="77777777" w:rsidR="00A61BEB" w:rsidRPr="00EF2119" w:rsidRDefault="00EF2119">
      <w:pPr>
        <w:pStyle w:val="NormalWeb"/>
        <w:numPr>
          <w:ilvl w:val="0"/>
          <w:numId w:val="15"/>
        </w:numPr>
      </w:pPr>
      <w:r w:rsidRPr="00EF2119">
        <w:t>încadrării în limite rezonabile;</w:t>
      </w:r>
    </w:p>
    <w:p w14:paraId="75E09653" w14:textId="77777777" w:rsidR="00A61BEB" w:rsidRPr="00EF2119" w:rsidRDefault="00EF2119">
      <w:pPr>
        <w:pStyle w:val="NormalWeb"/>
        <w:numPr>
          <w:ilvl w:val="0"/>
          <w:numId w:val="15"/>
        </w:numPr>
      </w:pPr>
      <w:r w:rsidRPr="00EF2119">
        <w:t>aprobării prealabile;</w:t>
      </w:r>
    </w:p>
    <w:p w14:paraId="43F3EC55" w14:textId="77777777" w:rsidR="00A61BEB" w:rsidRPr="00EF2119" w:rsidRDefault="00EF2119">
      <w:pPr>
        <w:pStyle w:val="NormalWeb"/>
        <w:numPr>
          <w:ilvl w:val="0"/>
          <w:numId w:val="15"/>
        </w:numPr>
      </w:pPr>
      <w:r w:rsidRPr="00EF2119">
        <w:t>documentării complete;</w:t>
      </w:r>
    </w:p>
    <w:p w14:paraId="7FBE4E38" w14:textId="77777777" w:rsidR="00A61BEB" w:rsidRPr="00EF2119" w:rsidRDefault="00EF2119">
      <w:pPr>
        <w:pStyle w:val="NormalWeb"/>
        <w:numPr>
          <w:ilvl w:val="0"/>
          <w:numId w:val="15"/>
        </w:numPr>
      </w:pPr>
      <w:r w:rsidRPr="00EF2119">
        <w:t>separării atribuțiilor.</w:t>
      </w:r>
    </w:p>
    <w:p w14:paraId="42CBB646" w14:textId="77777777" w:rsidR="00A61BEB" w:rsidRPr="00EF2119" w:rsidRDefault="00EF2119">
      <w:pPr>
        <w:pStyle w:val="NormalWeb"/>
        <w:rPr>
          <w:i/>
          <w:iCs/>
        </w:rPr>
      </w:pPr>
      <w:r w:rsidRPr="00EF2119">
        <w:rPr>
          <w:rStyle w:val="Strong"/>
          <w:i/>
          <w:iCs/>
        </w:rPr>
        <w:t>Atenționare:</w:t>
      </w:r>
      <w:r w:rsidRPr="00EF2119">
        <w:rPr>
          <w:i/>
          <w:iCs/>
        </w:rPr>
        <w:br/>
        <w:t>Cheltuielile neaprobate sau nejustificate pot fi respinse la decontare.</w:t>
      </w:r>
    </w:p>
    <w:p w14:paraId="1C1C860E" w14:textId="77777777" w:rsidR="00A61BEB" w:rsidRPr="00EF2119" w:rsidRDefault="00A61BEB">
      <w:pPr>
        <w:pStyle w:val="Heading2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0D4F8CC6" w14:textId="77777777" w:rsidR="00A61BEB" w:rsidRPr="00EF2119" w:rsidRDefault="00EF2119">
      <w:pPr>
        <w:pStyle w:val="Heading2"/>
        <w:rPr>
          <w:rFonts w:ascii="Times New Roman" w:hAnsi="Times New Roman" w:cs="Times New Roman"/>
          <w:b w:val="0"/>
          <w:i w:val="0"/>
          <w:iCs/>
          <w:szCs w:val="28"/>
        </w:rPr>
      </w:pPr>
      <w:r w:rsidRPr="00EF2119">
        <w:rPr>
          <w:rStyle w:val="Strong"/>
          <w:rFonts w:ascii="Times New Roman" w:hAnsi="Times New Roman" w:cs="Times New Roman"/>
          <w:b/>
          <w:i w:val="0"/>
          <w:iCs/>
          <w:szCs w:val="28"/>
        </w:rPr>
        <w:t>6. Aprobarea deplasărilor</w:t>
      </w:r>
    </w:p>
    <w:p w14:paraId="3FD8388F" w14:textId="77777777" w:rsidR="00A61BEB" w:rsidRPr="00EF2119" w:rsidRDefault="00EF2119">
      <w:pPr>
        <w:pStyle w:val="NormalWeb"/>
      </w:pPr>
      <w:r w:rsidRPr="00EF2119">
        <w:t xml:space="preserve">Orice deplasare se aprobă anterior efectuării acesteia, pe baza unei </w:t>
      </w:r>
      <w:r w:rsidRPr="00EF2119">
        <w:rPr>
          <w:rStyle w:val="Strong"/>
        </w:rPr>
        <w:t>solicitări de deplasare</w:t>
      </w:r>
      <w:r w:rsidRPr="00EF2119">
        <w:t xml:space="preserve"> care cuprinde:</w:t>
      </w:r>
    </w:p>
    <w:p w14:paraId="64FE9B5E" w14:textId="77777777" w:rsidR="00A61BEB" w:rsidRPr="00EF2119" w:rsidRDefault="00EF2119">
      <w:pPr>
        <w:pStyle w:val="NormalWeb"/>
        <w:numPr>
          <w:ilvl w:val="0"/>
          <w:numId w:val="2"/>
        </w:numPr>
      </w:pPr>
      <w:r w:rsidRPr="00EF2119">
        <w:t>scopul deplasării;</w:t>
      </w:r>
    </w:p>
    <w:p w14:paraId="169B41B0" w14:textId="77777777" w:rsidR="00A61BEB" w:rsidRPr="00EF2119" w:rsidRDefault="00EF2119">
      <w:pPr>
        <w:pStyle w:val="NormalWeb"/>
        <w:numPr>
          <w:ilvl w:val="0"/>
          <w:numId w:val="2"/>
        </w:numPr>
      </w:pPr>
      <w:r w:rsidRPr="00EF2119">
        <w:t>perioada;</w:t>
      </w:r>
    </w:p>
    <w:p w14:paraId="5D33BCED" w14:textId="77777777" w:rsidR="00A61BEB" w:rsidRPr="00EF2119" w:rsidRDefault="00EF2119">
      <w:pPr>
        <w:pStyle w:val="NormalWeb"/>
        <w:numPr>
          <w:ilvl w:val="0"/>
          <w:numId w:val="2"/>
        </w:numPr>
      </w:pPr>
      <w:r w:rsidRPr="00EF2119">
        <w:t>locația;</w:t>
      </w:r>
    </w:p>
    <w:p w14:paraId="24E3AE96" w14:textId="77777777" w:rsidR="00A61BEB" w:rsidRPr="00EF2119" w:rsidRDefault="00EF2119">
      <w:pPr>
        <w:pStyle w:val="NormalWeb"/>
        <w:numPr>
          <w:ilvl w:val="0"/>
          <w:numId w:val="2"/>
        </w:numPr>
      </w:pPr>
      <w:r w:rsidRPr="00EF2119">
        <w:t>estimarea cheltuielilor.</w:t>
      </w:r>
    </w:p>
    <w:p w14:paraId="4DAD65D7" w14:textId="77777777" w:rsidR="00A61BEB" w:rsidRPr="00EF2119" w:rsidRDefault="00A61BEB">
      <w:pPr>
        <w:pStyle w:val="Heading2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1028CF89" w14:textId="77777777" w:rsidR="00A61BEB" w:rsidRPr="00EF2119" w:rsidRDefault="00EF2119">
      <w:pPr>
        <w:pStyle w:val="Heading2"/>
        <w:rPr>
          <w:rFonts w:ascii="Times New Roman" w:hAnsi="Times New Roman" w:cs="Times New Roman"/>
          <w:b w:val="0"/>
          <w:i w:val="0"/>
          <w:iCs/>
          <w:szCs w:val="28"/>
        </w:rPr>
      </w:pPr>
      <w:r w:rsidRPr="00EF2119">
        <w:rPr>
          <w:rStyle w:val="Strong"/>
          <w:rFonts w:ascii="Times New Roman" w:hAnsi="Times New Roman" w:cs="Times New Roman"/>
          <w:b/>
          <w:i w:val="0"/>
          <w:iCs/>
          <w:szCs w:val="28"/>
        </w:rPr>
        <w:t>7. Cheltuieli eligibile de deplasare</w:t>
      </w:r>
    </w:p>
    <w:p w14:paraId="08AE79DD" w14:textId="77777777" w:rsidR="00A61BEB" w:rsidRPr="00EF2119" w:rsidRDefault="00EF2119">
      <w:pPr>
        <w:pStyle w:val="NormalWeb"/>
      </w:pPr>
      <w:r w:rsidRPr="00EF2119">
        <w:t xml:space="preserve">Sunt considerate </w:t>
      </w:r>
      <w:r w:rsidRPr="00EF2119">
        <w:t>eligibile:</w:t>
      </w:r>
    </w:p>
    <w:p w14:paraId="2885C484" w14:textId="77777777" w:rsidR="00A61BEB" w:rsidRPr="00EF2119" w:rsidRDefault="00EF2119">
      <w:pPr>
        <w:pStyle w:val="NormalWeb"/>
        <w:numPr>
          <w:ilvl w:val="0"/>
          <w:numId w:val="12"/>
        </w:numPr>
      </w:pPr>
      <w:r w:rsidRPr="00EF2119">
        <w:t>transport (auto, tren, avion);</w:t>
      </w:r>
    </w:p>
    <w:p w14:paraId="2ED0BC65" w14:textId="77777777" w:rsidR="00A61BEB" w:rsidRPr="00EF2119" w:rsidRDefault="00EF2119">
      <w:pPr>
        <w:pStyle w:val="NormalWeb"/>
        <w:numPr>
          <w:ilvl w:val="0"/>
          <w:numId w:val="12"/>
        </w:numPr>
      </w:pPr>
      <w:r w:rsidRPr="00EF2119">
        <w:t>cazare;</w:t>
      </w:r>
    </w:p>
    <w:p w14:paraId="18D82A43" w14:textId="77777777" w:rsidR="00A61BEB" w:rsidRPr="00EF2119" w:rsidRDefault="00EF2119">
      <w:pPr>
        <w:pStyle w:val="NormalWeb"/>
        <w:numPr>
          <w:ilvl w:val="0"/>
          <w:numId w:val="12"/>
        </w:numPr>
      </w:pPr>
      <w:r w:rsidRPr="00EF2119">
        <w:t>diurnă;</w:t>
      </w:r>
    </w:p>
    <w:p w14:paraId="37DA0F54" w14:textId="77777777" w:rsidR="00A61BEB" w:rsidRPr="00EF2119" w:rsidRDefault="00EF2119">
      <w:pPr>
        <w:pStyle w:val="NormalWeb"/>
        <w:numPr>
          <w:ilvl w:val="0"/>
          <w:numId w:val="12"/>
        </w:numPr>
      </w:pPr>
      <w:r w:rsidRPr="00EF2119">
        <w:t>alte cheltuieli strict necesare scopului deplasării.</w:t>
      </w:r>
    </w:p>
    <w:p w14:paraId="438ACBD4" w14:textId="77777777" w:rsidR="00A61BEB" w:rsidRPr="00EF2119" w:rsidRDefault="00EF2119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EF2119">
        <w:rPr>
          <w:rFonts w:ascii="Times New Roman" w:hAnsi="Times New Roman" w:cs="Times New Roman"/>
          <w:sz w:val="24"/>
          <w:szCs w:val="24"/>
        </w:rPr>
        <w:t>Cheltuieli neeligibile:</w:t>
      </w:r>
    </w:p>
    <w:p w14:paraId="3EBA5457" w14:textId="77777777" w:rsidR="00A61BEB" w:rsidRPr="00EF2119" w:rsidRDefault="00EF2119">
      <w:pPr>
        <w:pStyle w:val="NormalWeb"/>
        <w:numPr>
          <w:ilvl w:val="0"/>
          <w:numId w:val="17"/>
        </w:numPr>
      </w:pPr>
      <w:r w:rsidRPr="00EF2119">
        <w:t>cheltuieli personale;</w:t>
      </w:r>
    </w:p>
    <w:p w14:paraId="0D425CA9" w14:textId="77777777" w:rsidR="00A61BEB" w:rsidRPr="00EF2119" w:rsidRDefault="00EF2119">
      <w:pPr>
        <w:pStyle w:val="NormalWeb"/>
        <w:numPr>
          <w:ilvl w:val="0"/>
          <w:numId w:val="17"/>
        </w:numPr>
      </w:pPr>
      <w:r w:rsidRPr="00EF2119">
        <w:t>amenzi;</w:t>
      </w:r>
    </w:p>
    <w:p w14:paraId="45E964B5" w14:textId="77777777" w:rsidR="00A61BEB" w:rsidRPr="00EF2119" w:rsidRDefault="00EF2119">
      <w:pPr>
        <w:pStyle w:val="NormalWeb"/>
        <w:numPr>
          <w:ilvl w:val="0"/>
          <w:numId w:val="17"/>
        </w:numPr>
      </w:pPr>
      <w:r w:rsidRPr="00EF2119">
        <w:t>cheltuieli fără legătură cu scopul deplasării.</w:t>
      </w:r>
    </w:p>
    <w:p w14:paraId="25C95F21" w14:textId="77777777" w:rsidR="00A61BEB" w:rsidRPr="00EF2119" w:rsidRDefault="00A61BEB">
      <w:pPr>
        <w:pStyle w:val="Heading2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395333A1" w14:textId="77777777" w:rsidR="00A61BEB" w:rsidRPr="00EF2119" w:rsidRDefault="00EF2119">
      <w:pPr>
        <w:pStyle w:val="Heading2"/>
        <w:rPr>
          <w:rFonts w:ascii="Times New Roman" w:hAnsi="Times New Roman" w:cs="Times New Roman"/>
          <w:b w:val="0"/>
          <w:i w:val="0"/>
          <w:iCs/>
          <w:szCs w:val="28"/>
        </w:rPr>
      </w:pPr>
      <w:r w:rsidRPr="00EF2119">
        <w:rPr>
          <w:rStyle w:val="Strong"/>
          <w:rFonts w:ascii="Times New Roman" w:hAnsi="Times New Roman" w:cs="Times New Roman"/>
          <w:b/>
          <w:i w:val="0"/>
          <w:iCs/>
          <w:szCs w:val="28"/>
        </w:rPr>
        <w:t>8. Diurna</w:t>
      </w:r>
    </w:p>
    <w:p w14:paraId="47F07BA2" w14:textId="77777777" w:rsidR="00A61BEB" w:rsidRPr="00EF2119" w:rsidRDefault="00EF2119">
      <w:pPr>
        <w:pStyle w:val="NormalWeb"/>
      </w:pPr>
      <w:r w:rsidRPr="00EF2119">
        <w:t>Diurna se acordă conform:</w:t>
      </w:r>
    </w:p>
    <w:p w14:paraId="6FC3CF03" w14:textId="77777777" w:rsidR="00A61BEB" w:rsidRPr="00EF2119" w:rsidRDefault="00EF2119">
      <w:pPr>
        <w:pStyle w:val="NormalWeb"/>
        <w:numPr>
          <w:ilvl w:val="0"/>
          <w:numId w:val="7"/>
        </w:numPr>
      </w:pPr>
      <w:r w:rsidRPr="00EF2119">
        <w:t>legislației fiscale aplicabile;</w:t>
      </w:r>
    </w:p>
    <w:p w14:paraId="45E9AC23" w14:textId="77777777" w:rsidR="00A61BEB" w:rsidRPr="00EF2119" w:rsidRDefault="00EF2119">
      <w:pPr>
        <w:pStyle w:val="NormalWeb"/>
        <w:numPr>
          <w:ilvl w:val="0"/>
          <w:numId w:val="7"/>
        </w:numPr>
      </w:pPr>
      <w:r w:rsidRPr="00EF2119">
        <w:t>politicilor interne ale companiei.</w:t>
      </w:r>
    </w:p>
    <w:p w14:paraId="307D92E8" w14:textId="77777777" w:rsidR="00A61BEB" w:rsidRPr="00EF2119" w:rsidRDefault="00EF2119">
      <w:pPr>
        <w:pStyle w:val="NormalWeb"/>
        <w:rPr>
          <w:i/>
          <w:iCs/>
        </w:rPr>
      </w:pPr>
      <w:r w:rsidRPr="00EF2119">
        <w:rPr>
          <w:rStyle w:val="Strong"/>
          <w:i/>
          <w:iCs/>
        </w:rPr>
        <w:t>Notă:</w:t>
      </w:r>
      <w:r w:rsidRPr="00EF2119">
        <w:rPr>
          <w:i/>
          <w:iCs/>
        </w:rPr>
        <w:br/>
        <w:t>Depășirea plafonului neimpozabil poate genera obligații fiscale suplimentare.</w:t>
      </w:r>
    </w:p>
    <w:p w14:paraId="5C79A01A" w14:textId="77777777" w:rsidR="00A61BEB" w:rsidRPr="00EF2119" w:rsidRDefault="00A61BEB">
      <w:pPr>
        <w:pStyle w:val="Heading2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40FFECC6" w14:textId="77777777" w:rsidR="00A61BEB" w:rsidRPr="00EF2119" w:rsidRDefault="00EF2119">
      <w:pPr>
        <w:pStyle w:val="Heading2"/>
        <w:rPr>
          <w:rFonts w:ascii="Times New Roman" w:hAnsi="Times New Roman" w:cs="Times New Roman"/>
          <w:b w:val="0"/>
          <w:i w:val="0"/>
          <w:iCs/>
          <w:szCs w:val="28"/>
        </w:rPr>
      </w:pPr>
      <w:r w:rsidRPr="00EF2119">
        <w:rPr>
          <w:rStyle w:val="Strong"/>
          <w:rFonts w:ascii="Times New Roman" w:hAnsi="Times New Roman" w:cs="Times New Roman"/>
          <w:b/>
          <w:i w:val="0"/>
          <w:iCs/>
          <w:szCs w:val="28"/>
        </w:rPr>
        <w:t>9. Cheltuieli de protocol</w:t>
      </w:r>
    </w:p>
    <w:p w14:paraId="352B2DEA" w14:textId="77777777" w:rsidR="00A61BEB" w:rsidRPr="00EF2119" w:rsidRDefault="00EF2119">
      <w:pPr>
        <w:pStyle w:val="NormalWeb"/>
      </w:pPr>
      <w:r w:rsidRPr="00EF2119">
        <w:t>Cheltuielile de protocol sunt permise doar dacă:</w:t>
      </w:r>
    </w:p>
    <w:p w14:paraId="548D3682" w14:textId="77777777" w:rsidR="00A61BEB" w:rsidRPr="00EF2119" w:rsidRDefault="00EF2119">
      <w:pPr>
        <w:pStyle w:val="NormalWeb"/>
        <w:numPr>
          <w:ilvl w:val="0"/>
          <w:numId w:val="13"/>
        </w:numPr>
      </w:pPr>
      <w:r w:rsidRPr="00EF2119">
        <w:t>sunt justificate de relația de afaceri;</w:t>
      </w:r>
    </w:p>
    <w:p w14:paraId="48710486" w14:textId="77777777" w:rsidR="00A61BEB" w:rsidRPr="00EF2119" w:rsidRDefault="00EF2119">
      <w:pPr>
        <w:pStyle w:val="NormalWeb"/>
        <w:numPr>
          <w:ilvl w:val="0"/>
          <w:numId w:val="13"/>
        </w:numPr>
      </w:pPr>
      <w:r w:rsidRPr="00EF2119">
        <w:t>sunt aprobate;</w:t>
      </w:r>
    </w:p>
    <w:p w14:paraId="32C766B7" w14:textId="77777777" w:rsidR="00A61BEB" w:rsidRPr="00EF2119" w:rsidRDefault="00EF2119">
      <w:pPr>
        <w:pStyle w:val="NormalWeb"/>
        <w:numPr>
          <w:ilvl w:val="0"/>
          <w:numId w:val="13"/>
        </w:numPr>
      </w:pPr>
      <w:r w:rsidRPr="00EF2119">
        <w:t>sunt documentate complet.</w:t>
      </w:r>
    </w:p>
    <w:p w14:paraId="26BC52BF" w14:textId="77777777" w:rsidR="00A61BEB" w:rsidRPr="00EF2119" w:rsidRDefault="00EF2119">
      <w:pPr>
        <w:pStyle w:val="NormalWeb"/>
      </w:pPr>
      <w:r w:rsidRPr="00EF2119">
        <w:t>Exemple:</w:t>
      </w:r>
    </w:p>
    <w:p w14:paraId="21BF422E" w14:textId="77777777" w:rsidR="00A61BEB" w:rsidRPr="00EF2119" w:rsidRDefault="00EF2119">
      <w:pPr>
        <w:pStyle w:val="NormalWeb"/>
        <w:numPr>
          <w:ilvl w:val="0"/>
          <w:numId w:val="4"/>
        </w:numPr>
      </w:pPr>
      <w:r w:rsidRPr="00EF2119">
        <w:t>mese de afaceri;</w:t>
      </w:r>
    </w:p>
    <w:p w14:paraId="415A9B8E" w14:textId="77777777" w:rsidR="00A61BEB" w:rsidRPr="00EF2119" w:rsidRDefault="00EF2119">
      <w:pPr>
        <w:pStyle w:val="NormalWeb"/>
        <w:numPr>
          <w:ilvl w:val="0"/>
          <w:numId w:val="4"/>
        </w:numPr>
      </w:pPr>
      <w:r w:rsidRPr="00EF2119">
        <w:t>evenimente cu parteneri;</w:t>
      </w:r>
    </w:p>
    <w:p w14:paraId="4C0E5CF1" w14:textId="77777777" w:rsidR="00A61BEB" w:rsidRPr="00EF2119" w:rsidRDefault="00EF2119">
      <w:pPr>
        <w:pStyle w:val="NormalWeb"/>
        <w:numPr>
          <w:ilvl w:val="0"/>
          <w:numId w:val="4"/>
        </w:numPr>
      </w:pPr>
      <w:r w:rsidRPr="00EF2119">
        <w:t>materiale promoționale.</w:t>
      </w:r>
    </w:p>
    <w:p w14:paraId="5E1078E5" w14:textId="77777777" w:rsidR="00A61BEB" w:rsidRPr="00EF2119" w:rsidRDefault="00EF2119">
      <w:pPr>
        <w:pStyle w:val="NormalWeb"/>
        <w:rPr>
          <w:i/>
          <w:iCs/>
        </w:rPr>
      </w:pPr>
      <w:r w:rsidRPr="00EF2119">
        <w:rPr>
          <w:rStyle w:val="Strong"/>
          <w:i/>
          <w:iCs/>
        </w:rPr>
        <w:t>Atenționare:</w:t>
      </w:r>
      <w:r w:rsidRPr="00EF2119">
        <w:rPr>
          <w:i/>
          <w:iCs/>
        </w:rPr>
        <w:br/>
        <w:t>Cheltuielile de protocol cu caracter personal sunt interzise.</w:t>
      </w:r>
    </w:p>
    <w:p w14:paraId="38FABFE2" w14:textId="77777777" w:rsidR="00A61BEB" w:rsidRPr="00EF2119" w:rsidRDefault="00A61BEB">
      <w:pPr>
        <w:pStyle w:val="Heading2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06A02103" w14:textId="77777777" w:rsidR="00A61BEB" w:rsidRPr="00EF2119" w:rsidRDefault="00EF2119">
      <w:pPr>
        <w:pStyle w:val="Heading2"/>
        <w:rPr>
          <w:rFonts w:ascii="Times New Roman" w:hAnsi="Times New Roman" w:cs="Times New Roman"/>
          <w:b w:val="0"/>
          <w:i w:val="0"/>
          <w:iCs/>
          <w:szCs w:val="28"/>
        </w:rPr>
      </w:pPr>
      <w:r w:rsidRPr="00EF2119">
        <w:rPr>
          <w:rStyle w:val="Strong"/>
          <w:rFonts w:ascii="Times New Roman" w:hAnsi="Times New Roman" w:cs="Times New Roman"/>
          <w:b/>
          <w:i w:val="0"/>
          <w:iCs/>
          <w:szCs w:val="28"/>
        </w:rPr>
        <w:t>10. Documente justificative</w:t>
      </w:r>
    </w:p>
    <w:p w14:paraId="481F36BF" w14:textId="77777777" w:rsidR="00A61BEB" w:rsidRPr="00EF2119" w:rsidRDefault="00EF2119">
      <w:pPr>
        <w:pStyle w:val="NormalWeb"/>
      </w:pPr>
      <w:r w:rsidRPr="00EF2119">
        <w:t xml:space="preserve">Cheltuielile trebuie </w:t>
      </w:r>
      <w:r w:rsidRPr="00EF2119">
        <w:t>susținute de:</w:t>
      </w:r>
    </w:p>
    <w:p w14:paraId="7084223D" w14:textId="77777777" w:rsidR="00A61BEB" w:rsidRPr="00EF2119" w:rsidRDefault="00EF2119">
      <w:pPr>
        <w:pStyle w:val="NormalWeb"/>
        <w:numPr>
          <w:ilvl w:val="0"/>
          <w:numId w:val="16"/>
        </w:numPr>
      </w:pPr>
      <w:r w:rsidRPr="00EF2119">
        <w:t>facturi;</w:t>
      </w:r>
    </w:p>
    <w:p w14:paraId="18226ABC" w14:textId="77777777" w:rsidR="00A61BEB" w:rsidRPr="00EF2119" w:rsidRDefault="00EF2119">
      <w:pPr>
        <w:pStyle w:val="NormalWeb"/>
        <w:numPr>
          <w:ilvl w:val="0"/>
          <w:numId w:val="16"/>
        </w:numPr>
      </w:pPr>
      <w:r w:rsidRPr="00EF2119">
        <w:t>bonuri fiscale;</w:t>
      </w:r>
    </w:p>
    <w:p w14:paraId="7B656969" w14:textId="77777777" w:rsidR="00A61BEB" w:rsidRPr="00EF2119" w:rsidRDefault="00EF2119">
      <w:pPr>
        <w:pStyle w:val="NormalWeb"/>
        <w:numPr>
          <w:ilvl w:val="0"/>
          <w:numId w:val="16"/>
        </w:numPr>
      </w:pPr>
      <w:r w:rsidRPr="00EF2119">
        <w:t>bilete de transport;</w:t>
      </w:r>
    </w:p>
    <w:p w14:paraId="7C89ED68" w14:textId="77777777" w:rsidR="00A61BEB" w:rsidRPr="00EF2119" w:rsidRDefault="00EF2119">
      <w:pPr>
        <w:pStyle w:val="NormalWeb"/>
        <w:numPr>
          <w:ilvl w:val="0"/>
          <w:numId w:val="16"/>
        </w:numPr>
      </w:pPr>
      <w:r w:rsidRPr="00EF2119">
        <w:t>documente de cazare;</w:t>
      </w:r>
    </w:p>
    <w:p w14:paraId="5265B02E" w14:textId="77777777" w:rsidR="00A61BEB" w:rsidRPr="00EF2119" w:rsidRDefault="00EF2119">
      <w:pPr>
        <w:pStyle w:val="NormalWeb"/>
        <w:numPr>
          <w:ilvl w:val="0"/>
          <w:numId w:val="16"/>
        </w:numPr>
      </w:pPr>
      <w:r w:rsidRPr="00EF2119">
        <w:t>alte documente relevante.</w:t>
      </w:r>
    </w:p>
    <w:p w14:paraId="2224C93A" w14:textId="77777777" w:rsidR="00A61BEB" w:rsidRPr="00EF2119" w:rsidRDefault="00EF2119">
      <w:pPr>
        <w:pStyle w:val="NormalWeb"/>
        <w:rPr>
          <w:i/>
          <w:iCs/>
        </w:rPr>
      </w:pPr>
      <w:r w:rsidRPr="00EF2119">
        <w:rPr>
          <w:i/>
          <w:iCs/>
        </w:rPr>
        <w:t>Documentele incomplete pot conduce la respingerea decontului.</w:t>
      </w:r>
    </w:p>
    <w:p w14:paraId="78487ADA" w14:textId="77777777" w:rsidR="00A61BEB" w:rsidRPr="00EF2119" w:rsidRDefault="00A61BEB">
      <w:pPr>
        <w:pStyle w:val="Heading2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0F9DF3A9" w14:textId="77777777" w:rsidR="00A61BEB" w:rsidRPr="00EF2119" w:rsidRDefault="00EF2119">
      <w:pPr>
        <w:pStyle w:val="Heading2"/>
        <w:rPr>
          <w:rFonts w:ascii="Times New Roman" w:hAnsi="Times New Roman" w:cs="Times New Roman"/>
          <w:b w:val="0"/>
          <w:i w:val="0"/>
          <w:iCs/>
          <w:szCs w:val="28"/>
        </w:rPr>
      </w:pPr>
      <w:r w:rsidRPr="00EF2119">
        <w:rPr>
          <w:rStyle w:val="Strong"/>
          <w:rFonts w:ascii="Times New Roman" w:hAnsi="Times New Roman" w:cs="Times New Roman"/>
          <w:b/>
          <w:i w:val="0"/>
          <w:iCs/>
          <w:szCs w:val="28"/>
        </w:rPr>
        <w:t>11. Decontarea cheltuielilor</w:t>
      </w:r>
    </w:p>
    <w:p w14:paraId="3999549D" w14:textId="77777777" w:rsidR="00A61BEB" w:rsidRPr="00EF2119" w:rsidRDefault="00EF2119">
      <w:pPr>
        <w:pStyle w:val="NormalWeb"/>
      </w:pPr>
      <w:r w:rsidRPr="00EF2119">
        <w:t>Decontul se depune în termenul stabilit de companie, după finalizarea deplasării.</w:t>
      </w:r>
    </w:p>
    <w:p w14:paraId="4A4FEA0B" w14:textId="77777777" w:rsidR="00A61BEB" w:rsidRPr="00EF2119" w:rsidRDefault="00EF2119">
      <w:pPr>
        <w:pStyle w:val="NormalWeb"/>
      </w:pPr>
      <w:r w:rsidRPr="00EF2119">
        <w:t>Decontarea se face:</w:t>
      </w:r>
    </w:p>
    <w:p w14:paraId="76D28E1F" w14:textId="77777777" w:rsidR="00A61BEB" w:rsidRPr="00EF2119" w:rsidRDefault="00EF2119">
      <w:pPr>
        <w:pStyle w:val="NormalWeb"/>
        <w:numPr>
          <w:ilvl w:val="0"/>
          <w:numId w:val="18"/>
        </w:numPr>
      </w:pPr>
      <w:r w:rsidRPr="00EF2119">
        <w:t>după verificare;</w:t>
      </w:r>
    </w:p>
    <w:p w14:paraId="06A32B35" w14:textId="77777777" w:rsidR="00A61BEB" w:rsidRPr="00EF2119" w:rsidRDefault="00EF2119">
      <w:pPr>
        <w:pStyle w:val="NormalWeb"/>
        <w:numPr>
          <w:ilvl w:val="0"/>
          <w:numId w:val="18"/>
        </w:numPr>
      </w:pPr>
      <w:r w:rsidRPr="00EF2119">
        <w:t>în limita aprobării;</w:t>
      </w:r>
    </w:p>
    <w:p w14:paraId="3CBD521E" w14:textId="77777777" w:rsidR="00A61BEB" w:rsidRPr="00EF2119" w:rsidRDefault="00EF2119">
      <w:pPr>
        <w:pStyle w:val="NormalWeb"/>
        <w:numPr>
          <w:ilvl w:val="0"/>
          <w:numId w:val="18"/>
        </w:numPr>
      </w:pPr>
      <w:r w:rsidRPr="00EF2119">
        <w:t>conform documentelor justificative.</w:t>
      </w:r>
    </w:p>
    <w:p w14:paraId="460415C6" w14:textId="77777777" w:rsidR="00A61BEB" w:rsidRPr="00EF2119" w:rsidRDefault="00A61BEB">
      <w:pPr>
        <w:pStyle w:val="Heading2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25C434B5" w14:textId="77777777" w:rsidR="00A61BEB" w:rsidRPr="00EF2119" w:rsidRDefault="00EF2119">
      <w:pPr>
        <w:pStyle w:val="Heading2"/>
        <w:rPr>
          <w:rFonts w:ascii="Times New Roman" w:hAnsi="Times New Roman" w:cs="Times New Roman"/>
          <w:b w:val="0"/>
          <w:i w:val="0"/>
          <w:iCs/>
          <w:szCs w:val="28"/>
        </w:rPr>
      </w:pPr>
      <w:r w:rsidRPr="00EF2119">
        <w:rPr>
          <w:rStyle w:val="Strong"/>
          <w:rFonts w:ascii="Times New Roman" w:hAnsi="Times New Roman" w:cs="Times New Roman"/>
          <w:b/>
          <w:i w:val="0"/>
          <w:iCs/>
          <w:szCs w:val="28"/>
        </w:rPr>
        <w:t>12. Cheltuieli de protocol – limite și control</w:t>
      </w:r>
    </w:p>
    <w:p w14:paraId="7326CD2E" w14:textId="77777777" w:rsidR="00A61BEB" w:rsidRPr="00EF2119" w:rsidRDefault="00EF2119">
      <w:pPr>
        <w:pStyle w:val="NormalWeb"/>
      </w:pPr>
      <w:r w:rsidRPr="00EF2119">
        <w:t>Cheltuielile de protocol sunt monitorizate distinct și trebuie:</w:t>
      </w:r>
    </w:p>
    <w:p w14:paraId="329A5E37" w14:textId="77777777" w:rsidR="00A61BEB" w:rsidRPr="00EF2119" w:rsidRDefault="00EF2119">
      <w:pPr>
        <w:pStyle w:val="NormalWeb"/>
        <w:numPr>
          <w:ilvl w:val="0"/>
          <w:numId w:val="6"/>
        </w:numPr>
      </w:pPr>
      <w:r w:rsidRPr="00EF2119">
        <w:t>încadrate în buget;</w:t>
      </w:r>
    </w:p>
    <w:p w14:paraId="671D2B3C" w14:textId="77777777" w:rsidR="00A61BEB" w:rsidRPr="00EF2119" w:rsidRDefault="00EF2119">
      <w:pPr>
        <w:pStyle w:val="NormalWeb"/>
        <w:numPr>
          <w:ilvl w:val="0"/>
          <w:numId w:val="6"/>
        </w:numPr>
      </w:pPr>
      <w:r w:rsidRPr="00EF2119">
        <w:t>aprobate conform competențelor;</w:t>
      </w:r>
    </w:p>
    <w:p w14:paraId="65109308" w14:textId="77777777" w:rsidR="00A61BEB" w:rsidRPr="00EF2119" w:rsidRDefault="00EF2119">
      <w:pPr>
        <w:pStyle w:val="NormalWeb"/>
        <w:numPr>
          <w:ilvl w:val="0"/>
          <w:numId w:val="6"/>
        </w:numPr>
      </w:pPr>
      <w:r w:rsidRPr="00EF2119">
        <w:t>justificate din punct de vedere comercial.</w:t>
      </w:r>
    </w:p>
    <w:p w14:paraId="47E58BDF" w14:textId="77777777" w:rsidR="00A61BEB" w:rsidRPr="00EF2119" w:rsidRDefault="00A61BEB">
      <w:pPr>
        <w:pStyle w:val="Heading2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4C33CE6A" w14:textId="77777777" w:rsidR="00A61BEB" w:rsidRPr="00EF2119" w:rsidRDefault="00EF2119">
      <w:pPr>
        <w:pStyle w:val="Heading2"/>
        <w:rPr>
          <w:rFonts w:ascii="Times New Roman" w:hAnsi="Times New Roman" w:cs="Times New Roman"/>
          <w:b w:val="0"/>
          <w:i w:val="0"/>
          <w:iCs/>
          <w:szCs w:val="28"/>
        </w:rPr>
      </w:pPr>
      <w:r w:rsidRPr="00EF2119">
        <w:rPr>
          <w:rStyle w:val="Strong"/>
          <w:rFonts w:ascii="Times New Roman" w:hAnsi="Times New Roman" w:cs="Times New Roman"/>
          <w:b/>
          <w:i w:val="0"/>
          <w:iCs/>
          <w:szCs w:val="28"/>
        </w:rPr>
        <w:t>13. Monitorizare și control</w:t>
      </w:r>
    </w:p>
    <w:p w14:paraId="7A82A1A1" w14:textId="77777777" w:rsidR="00A61BEB" w:rsidRPr="00EF2119" w:rsidRDefault="00EF2119">
      <w:pPr>
        <w:pStyle w:val="NormalWeb"/>
      </w:pPr>
      <w:r w:rsidRPr="00EF2119">
        <w:t>Cheltuielile sunt monitorizate periodic pentru:</w:t>
      </w:r>
    </w:p>
    <w:p w14:paraId="007F97A0" w14:textId="77777777" w:rsidR="00A61BEB" w:rsidRPr="00EF2119" w:rsidRDefault="00EF2119">
      <w:pPr>
        <w:pStyle w:val="NormalWeb"/>
        <w:numPr>
          <w:ilvl w:val="0"/>
          <w:numId w:val="11"/>
        </w:numPr>
      </w:pPr>
      <w:r w:rsidRPr="00EF2119">
        <w:t>conformitate;</w:t>
      </w:r>
    </w:p>
    <w:p w14:paraId="39E88B99" w14:textId="77777777" w:rsidR="00A61BEB" w:rsidRPr="00EF2119" w:rsidRDefault="00EF2119">
      <w:pPr>
        <w:pStyle w:val="NormalWeb"/>
        <w:numPr>
          <w:ilvl w:val="0"/>
          <w:numId w:val="11"/>
        </w:numPr>
      </w:pPr>
      <w:r w:rsidRPr="00EF2119">
        <w:t>respectarea plafoanelor;</w:t>
      </w:r>
    </w:p>
    <w:p w14:paraId="29404872" w14:textId="77777777" w:rsidR="00A61BEB" w:rsidRPr="00EF2119" w:rsidRDefault="00EF2119">
      <w:pPr>
        <w:pStyle w:val="NormalWeb"/>
        <w:numPr>
          <w:ilvl w:val="0"/>
          <w:numId w:val="11"/>
        </w:numPr>
      </w:pPr>
      <w:r w:rsidRPr="00EF2119">
        <w:t>prevenirea abuzurilor.</w:t>
      </w:r>
    </w:p>
    <w:p w14:paraId="222816E1" w14:textId="77777777" w:rsidR="00A61BEB" w:rsidRPr="00EF2119" w:rsidRDefault="00A61BEB">
      <w:pPr>
        <w:pStyle w:val="Heading2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77028AEE" w14:textId="77777777" w:rsidR="00A61BEB" w:rsidRPr="00EF2119" w:rsidRDefault="00EF2119">
      <w:pPr>
        <w:pStyle w:val="Heading2"/>
        <w:rPr>
          <w:rFonts w:ascii="Times New Roman" w:hAnsi="Times New Roman" w:cs="Times New Roman"/>
          <w:b w:val="0"/>
          <w:i w:val="0"/>
          <w:iCs/>
          <w:szCs w:val="28"/>
        </w:rPr>
      </w:pPr>
      <w:r w:rsidRPr="00EF2119">
        <w:rPr>
          <w:rStyle w:val="Strong"/>
          <w:rFonts w:ascii="Times New Roman" w:hAnsi="Times New Roman" w:cs="Times New Roman"/>
          <w:b/>
          <w:i w:val="0"/>
          <w:iCs/>
          <w:szCs w:val="28"/>
        </w:rPr>
        <w:t>14. Obligațiile angajaților</w:t>
      </w:r>
    </w:p>
    <w:p w14:paraId="3798BA75" w14:textId="77777777" w:rsidR="00A61BEB" w:rsidRPr="00EF2119" w:rsidRDefault="00EF2119">
      <w:pPr>
        <w:pStyle w:val="NormalWeb"/>
      </w:pPr>
      <w:r w:rsidRPr="00EF2119">
        <w:t xml:space="preserve">Angajații au </w:t>
      </w:r>
      <w:r w:rsidRPr="00EF2119">
        <w:t>obligația:</w:t>
      </w:r>
    </w:p>
    <w:p w14:paraId="7935E6DA" w14:textId="77777777" w:rsidR="00A61BEB" w:rsidRPr="00EF2119" w:rsidRDefault="00EF2119">
      <w:pPr>
        <w:pStyle w:val="NormalWeb"/>
        <w:numPr>
          <w:ilvl w:val="0"/>
          <w:numId w:val="8"/>
        </w:numPr>
      </w:pPr>
      <w:r w:rsidRPr="00EF2119">
        <w:t>să respecte procedura;</w:t>
      </w:r>
    </w:p>
    <w:p w14:paraId="23E63CEC" w14:textId="77777777" w:rsidR="00A61BEB" w:rsidRPr="00EF2119" w:rsidRDefault="00EF2119">
      <w:pPr>
        <w:pStyle w:val="NormalWeb"/>
        <w:numPr>
          <w:ilvl w:val="0"/>
          <w:numId w:val="8"/>
        </w:numPr>
      </w:pPr>
      <w:r w:rsidRPr="00EF2119">
        <w:t>să utilizeze resursele companiei responsabil;</w:t>
      </w:r>
    </w:p>
    <w:p w14:paraId="52BBE9CC" w14:textId="77777777" w:rsidR="00A61BEB" w:rsidRPr="00EF2119" w:rsidRDefault="00EF2119">
      <w:pPr>
        <w:pStyle w:val="NormalWeb"/>
        <w:numPr>
          <w:ilvl w:val="0"/>
          <w:numId w:val="8"/>
        </w:numPr>
      </w:pPr>
      <w:r w:rsidRPr="00EF2119">
        <w:t>să prezinte documente reale și complete.</w:t>
      </w:r>
    </w:p>
    <w:p w14:paraId="0E051C91" w14:textId="77777777" w:rsidR="00A61BEB" w:rsidRPr="00EF2119" w:rsidRDefault="00A61BEB">
      <w:pPr>
        <w:pStyle w:val="Heading2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752597E7" w14:textId="77777777" w:rsidR="00A61BEB" w:rsidRPr="00EF2119" w:rsidRDefault="00EF2119">
      <w:pPr>
        <w:pStyle w:val="Heading2"/>
        <w:rPr>
          <w:rFonts w:ascii="Times New Roman" w:hAnsi="Times New Roman" w:cs="Times New Roman"/>
          <w:b w:val="0"/>
          <w:i w:val="0"/>
          <w:iCs/>
          <w:szCs w:val="28"/>
        </w:rPr>
      </w:pPr>
      <w:r w:rsidRPr="00EF2119">
        <w:rPr>
          <w:rStyle w:val="Strong"/>
          <w:rFonts w:ascii="Times New Roman" w:hAnsi="Times New Roman" w:cs="Times New Roman"/>
          <w:b/>
          <w:i w:val="0"/>
          <w:iCs/>
          <w:szCs w:val="28"/>
        </w:rPr>
        <w:t>15. Sancțiuni</w:t>
      </w:r>
    </w:p>
    <w:p w14:paraId="3E415FB8" w14:textId="77777777" w:rsidR="00A61BEB" w:rsidRPr="00EF2119" w:rsidRDefault="00EF2119">
      <w:pPr>
        <w:pStyle w:val="NormalWeb"/>
      </w:pPr>
      <w:r w:rsidRPr="00EF2119">
        <w:t>Nerespectarea procedurii poate atrage:</w:t>
      </w:r>
    </w:p>
    <w:p w14:paraId="6D01F7C6" w14:textId="77777777" w:rsidR="00A61BEB" w:rsidRPr="00EF2119" w:rsidRDefault="00EF2119">
      <w:pPr>
        <w:pStyle w:val="NormalWeb"/>
        <w:numPr>
          <w:ilvl w:val="0"/>
          <w:numId w:val="9"/>
        </w:numPr>
      </w:pPr>
      <w:r w:rsidRPr="00EF2119">
        <w:t>respingerea decontului;</w:t>
      </w:r>
    </w:p>
    <w:p w14:paraId="7F8B5046" w14:textId="77777777" w:rsidR="00A61BEB" w:rsidRPr="00EF2119" w:rsidRDefault="00EF2119">
      <w:pPr>
        <w:pStyle w:val="NormalWeb"/>
        <w:numPr>
          <w:ilvl w:val="0"/>
          <w:numId w:val="9"/>
        </w:numPr>
      </w:pPr>
      <w:r w:rsidRPr="00EF2119">
        <w:t>sancțiuni disciplinare;</w:t>
      </w:r>
    </w:p>
    <w:p w14:paraId="1E939C9F" w14:textId="77777777" w:rsidR="00A61BEB" w:rsidRPr="00EF2119" w:rsidRDefault="00EF2119">
      <w:pPr>
        <w:pStyle w:val="NormalWeb"/>
        <w:numPr>
          <w:ilvl w:val="0"/>
          <w:numId w:val="9"/>
        </w:numPr>
      </w:pPr>
      <w:r w:rsidRPr="00EF2119">
        <w:t>răspundere materială;</w:t>
      </w:r>
    </w:p>
    <w:p w14:paraId="1FEC37BC" w14:textId="77777777" w:rsidR="00A61BEB" w:rsidRPr="00EF2119" w:rsidRDefault="00EF2119">
      <w:pPr>
        <w:pStyle w:val="NormalWeb"/>
        <w:numPr>
          <w:ilvl w:val="0"/>
          <w:numId w:val="9"/>
        </w:numPr>
      </w:pPr>
      <w:r w:rsidRPr="00EF2119">
        <w:t>răspundere civilă sau penală, după caz.</w:t>
      </w:r>
    </w:p>
    <w:p w14:paraId="4422F513" w14:textId="77777777" w:rsidR="00A61BEB" w:rsidRPr="00EF2119" w:rsidRDefault="00A61BEB">
      <w:pPr>
        <w:pStyle w:val="Heading2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0C20A236" w14:textId="77777777" w:rsidR="00A61BEB" w:rsidRPr="00EF2119" w:rsidRDefault="00EF2119">
      <w:pPr>
        <w:pStyle w:val="Heading2"/>
        <w:rPr>
          <w:rFonts w:ascii="Times New Roman" w:hAnsi="Times New Roman" w:cs="Times New Roman"/>
          <w:b w:val="0"/>
          <w:i w:val="0"/>
          <w:iCs/>
          <w:szCs w:val="28"/>
        </w:rPr>
      </w:pPr>
      <w:r w:rsidRPr="00EF2119">
        <w:rPr>
          <w:rStyle w:val="Strong"/>
          <w:rFonts w:ascii="Times New Roman" w:hAnsi="Times New Roman" w:cs="Times New Roman"/>
          <w:b/>
          <w:i w:val="0"/>
          <w:iCs/>
          <w:szCs w:val="28"/>
        </w:rPr>
        <w:t>16. Revizuirea procedurii</w:t>
      </w:r>
    </w:p>
    <w:p w14:paraId="5AFBAFF5" w14:textId="77777777" w:rsidR="00A61BEB" w:rsidRPr="00EF2119" w:rsidRDefault="00EF2119">
      <w:pPr>
        <w:pStyle w:val="NormalWeb"/>
      </w:pPr>
      <w:r w:rsidRPr="00EF2119">
        <w:t>Procedura se revizuiește:</w:t>
      </w:r>
    </w:p>
    <w:p w14:paraId="049A28A4" w14:textId="77777777" w:rsidR="00A61BEB" w:rsidRPr="00EF2119" w:rsidRDefault="00EF2119">
      <w:pPr>
        <w:pStyle w:val="NormalWeb"/>
        <w:numPr>
          <w:ilvl w:val="0"/>
          <w:numId w:val="5"/>
        </w:numPr>
      </w:pPr>
      <w:r w:rsidRPr="00EF2119">
        <w:t>anual;</w:t>
      </w:r>
    </w:p>
    <w:p w14:paraId="2915DEDE" w14:textId="77777777" w:rsidR="00A61BEB" w:rsidRPr="00EF2119" w:rsidRDefault="00EF2119">
      <w:pPr>
        <w:pStyle w:val="NormalWeb"/>
        <w:numPr>
          <w:ilvl w:val="0"/>
          <w:numId w:val="5"/>
        </w:numPr>
      </w:pPr>
      <w:r w:rsidRPr="00EF2119">
        <w:t>la modificări legislative;</w:t>
      </w:r>
    </w:p>
    <w:p w14:paraId="4713A278" w14:textId="77777777" w:rsidR="00A61BEB" w:rsidRPr="00EF2119" w:rsidRDefault="00EF2119">
      <w:pPr>
        <w:pStyle w:val="NormalWeb"/>
        <w:numPr>
          <w:ilvl w:val="0"/>
          <w:numId w:val="5"/>
        </w:numPr>
      </w:pPr>
      <w:r w:rsidRPr="00EF2119">
        <w:t>la constatarea unor neconformități.</w:t>
      </w:r>
    </w:p>
    <w:p w14:paraId="574CBBCB" w14:textId="77777777" w:rsidR="00A61BEB" w:rsidRPr="00EF2119" w:rsidRDefault="00A61BEB">
      <w:pPr>
        <w:pStyle w:val="Heading2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35CD51A9" w14:textId="77777777" w:rsidR="00A61BEB" w:rsidRPr="00EF2119" w:rsidRDefault="00EF2119">
      <w:pPr>
        <w:pStyle w:val="Heading2"/>
        <w:rPr>
          <w:rFonts w:ascii="Times New Roman" w:hAnsi="Times New Roman" w:cs="Times New Roman"/>
          <w:b w:val="0"/>
          <w:i w:val="0"/>
          <w:iCs/>
          <w:szCs w:val="28"/>
        </w:rPr>
      </w:pPr>
      <w:r w:rsidRPr="00EF2119">
        <w:rPr>
          <w:rStyle w:val="Strong"/>
          <w:rFonts w:ascii="Times New Roman" w:hAnsi="Times New Roman" w:cs="Times New Roman"/>
          <w:b/>
          <w:i w:val="0"/>
          <w:iCs/>
          <w:szCs w:val="28"/>
        </w:rPr>
        <w:t>17. Dispoziții finale</w:t>
      </w:r>
    </w:p>
    <w:p w14:paraId="20C27DFD" w14:textId="77777777" w:rsidR="00A61BEB" w:rsidRPr="00EF2119" w:rsidRDefault="00EF2119">
      <w:pPr>
        <w:pStyle w:val="NormalWeb"/>
      </w:pPr>
      <w:r w:rsidRPr="00EF2119">
        <w:t>Prezenta procedură intră în vigoare la data aprobării și este obligatorie pentru toate persoanele vizate.</w:t>
      </w:r>
    </w:p>
    <w:p w14:paraId="60681239" w14:textId="77777777" w:rsidR="00A61BEB" w:rsidRPr="00EF2119" w:rsidRDefault="00A61BEB">
      <w:pPr>
        <w:rPr>
          <w:szCs w:val="24"/>
          <w:lang w:val="ro-RO"/>
        </w:rPr>
      </w:pPr>
    </w:p>
    <w:sectPr w:rsidR="00A61BEB" w:rsidRPr="00EF2119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3BA"/>
    <w:multiLevelType w:val="multilevel"/>
    <w:tmpl w:val="9A06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2045ECF"/>
    <w:multiLevelType w:val="multilevel"/>
    <w:tmpl w:val="07D4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26A32C5"/>
    <w:multiLevelType w:val="multilevel"/>
    <w:tmpl w:val="E5AE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F801ACB"/>
    <w:multiLevelType w:val="multilevel"/>
    <w:tmpl w:val="23D8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A291269"/>
    <w:multiLevelType w:val="multilevel"/>
    <w:tmpl w:val="0636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FA16A63"/>
    <w:multiLevelType w:val="multilevel"/>
    <w:tmpl w:val="4F30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33A57774"/>
    <w:multiLevelType w:val="multilevel"/>
    <w:tmpl w:val="E464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93013D1"/>
    <w:multiLevelType w:val="multilevel"/>
    <w:tmpl w:val="D0E0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3D3970A7"/>
    <w:multiLevelType w:val="multilevel"/>
    <w:tmpl w:val="FAAE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504F30F4"/>
    <w:multiLevelType w:val="multilevel"/>
    <w:tmpl w:val="951C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531B7457"/>
    <w:multiLevelType w:val="multilevel"/>
    <w:tmpl w:val="DED6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6D439D3"/>
    <w:multiLevelType w:val="multilevel"/>
    <w:tmpl w:val="3F20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5BBE6071"/>
    <w:multiLevelType w:val="multilevel"/>
    <w:tmpl w:val="4590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62F7637E"/>
    <w:multiLevelType w:val="multilevel"/>
    <w:tmpl w:val="5310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6A284547"/>
    <w:multiLevelType w:val="multilevel"/>
    <w:tmpl w:val="D16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6F1C4A08"/>
    <w:multiLevelType w:val="multilevel"/>
    <w:tmpl w:val="D6AE831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7D85BC8"/>
    <w:multiLevelType w:val="multilevel"/>
    <w:tmpl w:val="C5F6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7B05461D"/>
    <w:multiLevelType w:val="multilevel"/>
    <w:tmpl w:val="F44A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267812372">
    <w:abstractNumId w:val="15"/>
  </w:num>
  <w:num w:numId="2" w16cid:durableId="934216722">
    <w:abstractNumId w:val="7"/>
  </w:num>
  <w:num w:numId="3" w16cid:durableId="880939772">
    <w:abstractNumId w:val="14"/>
  </w:num>
  <w:num w:numId="4" w16cid:durableId="1374381887">
    <w:abstractNumId w:val="10"/>
  </w:num>
  <w:num w:numId="5" w16cid:durableId="389888368">
    <w:abstractNumId w:val="9"/>
  </w:num>
  <w:num w:numId="6" w16cid:durableId="1783112964">
    <w:abstractNumId w:val="8"/>
  </w:num>
  <w:num w:numId="7" w16cid:durableId="308051621">
    <w:abstractNumId w:val="13"/>
  </w:num>
  <w:num w:numId="8" w16cid:durableId="1639727206">
    <w:abstractNumId w:val="11"/>
  </w:num>
  <w:num w:numId="9" w16cid:durableId="1228802292">
    <w:abstractNumId w:val="12"/>
  </w:num>
  <w:num w:numId="10" w16cid:durableId="1256093286">
    <w:abstractNumId w:val="16"/>
  </w:num>
  <w:num w:numId="11" w16cid:durableId="1478842079">
    <w:abstractNumId w:val="1"/>
  </w:num>
  <w:num w:numId="12" w16cid:durableId="66728334">
    <w:abstractNumId w:val="4"/>
  </w:num>
  <w:num w:numId="13" w16cid:durableId="1026105238">
    <w:abstractNumId w:val="3"/>
  </w:num>
  <w:num w:numId="14" w16cid:durableId="1086919611">
    <w:abstractNumId w:val="6"/>
  </w:num>
  <w:num w:numId="15" w16cid:durableId="1855849594">
    <w:abstractNumId w:val="2"/>
  </w:num>
  <w:num w:numId="16" w16cid:durableId="2088964891">
    <w:abstractNumId w:val="5"/>
  </w:num>
  <w:num w:numId="17" w16cid:durableId="807478710">
    <w:abstractNumId w:val="0"/>
  </w:num>
  <w:num w:numId="18" w16cid:durableId="15949772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61BEB"/>
    <w:rsid w:val="00A61BEB"/>
    <w:rsid w:val="00D02492"/>
    <w:rsid w:val="00E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3391"/>
  <w15:docId w15:val="{19E0E51F-CF4D-4DBA-BFF7-2A112607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rFonts w:ascii="Symbol" w:hAnsi="Symbol" w:cs="Symbol"/>
      <w:sz w:val="20"/>
    </w:rPr>
  </w:style>
  <w:style w:type="character" w:customStyle="1" w:styleId="WW8Num23z1">
    <w:name w:val="WW8Num23z1"/>
    <w:qFormat/>
    <w:rPr>
      <w:rFonts w:ascii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WW8NumSt4z0">
    <w:name w:val="WW8NumSt4z0"/>
    <w:qFormat/>
    <w:rPr>
      <w:rFonts w:ascii="Symbol" w:hAnsi="Symbol" w:cs="Symbol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5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520</cp:revision>
  <cp:lastPrinted>2024-12-10T11:09:00Z</cp:lastPrinted>
  <dcterms:created xsi:type="dcterms:W3CDTF">2013-08-26T08:01:00Z</dcterms:created>
  <dcterms:modified xsi:type="dcterms:W3CDTF">2026-05-08T10:16:00Z</dcterms:modified>
  <dc:language>en-US</dc:language>
</cp:coreProperties>
</file>