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8539" w14:textId="77777777" w:rsidR="00D254B0" w:rsidRDefault="006A268A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232B68E3" w14:textId="77777777" w:rsidR="006A268A" w:rsidRDefault="006A268A" w:rsidP="006A268A">
      <w:pPr>
        <w:pStyle w:val="Heading1"/>
        <w:jc w:val="center"/>
        <w:rPr>
          <w:rFonts w:ascii="Times New Roman" w:hAnsi="Times New Roman" w:cs="Times New Roman"/>
          <w:szCs w:val="32"/>
        </w:rPr>
      </w:pPr>
    </w:p>
    <w:p w14:paraId="54518E22" w14:textId="0262CBA7" w:rsidR="00D254B0" w:rsidRPr="006A268A" w:rsidRDefault="006A268A" w:rsidP="006A268A">
      <w:pPr>
        <w:pStyle w:val="Heading1"/>
        <w:jc w:val="center"/>
        <w:rPr>
          <w:rFonts w:ascii="Times New Roman" w:hAnsi="Times New Roman" w:cs="Times New Roman"/>
          <w:szCs w:val="32"/>
        </w:rPr>
      </w:pPr>
      <w:r w:rsidRPr="006A268A">
        <w:rPr>
          <w:rFonts w:ascii="Times New Roman" w:hAnsi="Times New Roman" w:cs="Times New Roman"/>
          <w:szCs w:val="32"/>
        </w:rPr>
        <w:t>PROCEDURĂ</w:t>
      </w:r>
    </w:p>
    <w:p w14:paraId="57C6918E" w14:textId="379A529B" w:rsidR="00D254B0" w:rsidRPr="006A268A" w:rsidRDefault="006A268A" w:rsidP="006A268A">
      <w:pPr>
        <w:pStyle w:val="NormalWeb"/>
        <w:jc w:val="center"/>
        <w:rPr>
          <w:sz w:val="32"/>
          <w:szCs w:val="32"/>
        </w:rPr>
      </w:pPr>
      <w:r w:rsidRPr="006A268A">
        <w:rPr>
          <w:sz w:val="32"/>
          <w:szCs w:val="32"/>
        </w:rPr>
        <w:t>privind gestionarea facturilor cu risc fiscal ridicat</w:t>
      </w:r>
    </w:p>
    <w:p w14:paraId="77CAE14E" w14:textId="77777777" w:rsidR="00D254B0" w:rsidRDefault="00D254B0">
      <w:pPr>
        <w:pStyle w:val="Heading2"/>
        <w:rPr>
          <w:rStyle w:val="Strong"/>
          <w:bCs w:val="0"/>
        </w:rPr>
      </w:pPr>
    </w:p>
    <w:p w14:paraId="3D325CAE" w14:textId="77777777" w:rsidR="00D254B0" w:rsidRDefault="006A268A">
      <w:pPr>
        <w:pStyle w:val="Heading2"/>
      </w:pPr>
      <w:r>
        <w:rPr>
          <w:rStyle w:val="Strong"/>
          <w:bCs w:val="0"/>
        </w:rPr>
        <w:t>ANTET</w:t>
      </w:r>
    </w:p>
    <w:p w14:paraId="501A560D" w14:textId="77777777" w:rsidR="00D254B0" w:rsidRDefault="006A268A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1D641E92" w14:textId="1330C305" w:rsidR="00D254B0" w:rsidRDefault="006A268A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24F58575" w14:textId="77777777" w:rsidR="00D254B0" w:rsidRDefault="006A268A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7A0D98BD" w14:textId="77777777" w:rsidR="00D254B0" w:rsidRDefault="006A268A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76A9968C" w14:textId="77777777" w:rsidR="00D254B0" w:rsidRDefault="006A268A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63017DDB" w14:textId="77777777" w:rsidR="00D254B0" w:rsidRDefault="00D254B0">
      <w:pPr>
        <w:pStyle w:val="Heading2"/>
        <w:rPr>
          <w:rStyle w:val="Strong"/>
          <w:bCs w:val="0"/>
        </w:rPr>
      </w:pPr>
    </w:p>
    <w:p w14:paraId="4B462448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1. Scopul procedurii</w:t>
      </w:r>
    </w:p>
    <w:p w14:paraId="5CEAC34F" w14:textId="77777777" w:rsidR="00D254B0" w:rsidRDefault="006A268A">
      <w:pPr>
        <w:pStyle w:val="NormalWeb"/>
      </w:pPr>
      <w:r>
        <w:t xml:space="preserve">Prezenta procedură stabilește cadrul intern de </w:t>
      </w:r>
      <w:r>
        <w:rPr>
          <w:rStyle w:val="Strong"/>
        </w:rPr>
        <w:t>identificare, analiză, validare suplimentară, aprobare și monitorizare a facturilor cu risc fiscal ridicat</w:t>
      </w:r>
      <w:r>
        <w:t>, în scopul:</w:t>
      </w:r>
    </w:p>
    <w:p w14:paraId="35538FC8" w14:textId="77777777" w:rsidR="00D254B0" w:rsidRDefault="006A268A">
      <w:pPr>
        <w:pStyle w:val="NormalWeb"/>
        <w:numPr>
          <w:ilvl w:val="0"/>
          <w:numId w:val="17"/>
        </w:numPr>
      </w:pPr>
      <w:r>
        <w:t>prevenirii înregistrării și plății unor facturi neconforme sau fictive;</w:t>
      </w:r>
    </w:p>
    <w:p w14:paraId="61BFBC94" w14:textId="77777777" w:rsidR="00D254B0" w:rsidRDefault="006A268A">
      <w:pPr>
        <w:pStyle w:val="NormalWeb"/>
        <w:numPr>
          <w:ilvl w:val="0"/>
          <w:numId w:val="17"/>
        </w:numPr>
      </w:pPr>
      <w:r>
        <w:t>reducerii riscului de ajustări fiscale și sancțiuni;</w:t>
      </w:r>
    </w:p>
    <w:p w14:paraId="13B25A34" w14:textId="77777777" w:rsidR="00D254B0" w:rsidRDefault="006A268A">
      <w:pPr>
        <w:pStyle w:val="NormalWeb"/>
        <w:numPr>
          <w:ilvl w:val="0"/>
          <w:numId w:val="17"/>
        </w:numPr>
      </w:pPr>
      <w:r>
        <w:t>demonstrării diligenței administratorului în fața organelor fiscale;</w:t>
      </w:r>
    </w:p>
    <w:p w14:paraId="3C3B279A" w14:textId="77777777" w:rsidR="00D254B0" w:rsidRDefault="006A268A">
      <w:pPr>
        <w:pStyle w:val="NormalWeb"/>
        <w:numPr>
          <w:ilvl w:val="0"/>
          <w:numId w:val="17"/>
        </w:numPr>
      </w:pPr>
      <w:r>
        <w:t>protejării societății împotriva riscurilor de fraudă, evaziune sau deductibilitate nejustificată.</w:t>
      </w:r>
    </w:p>
    <w:p w14:paraId="446B06F4" w14:textId="77777777" w:rsidR="00D254B0" w:rsidRDefault="006A268A">
      <w:pPr>
        <w:pStyle w:val="NormalWeb"/>
      </w:pPr>
      <w:r>
        <w:t xml:space="preserve">Procedura are caracter </w:t>
      </w:r>
      <w:r>
        <w:rPr>
          <w:rStyle w:val="Strong"/>
        </w:rPr>
        <w:t>obligatoriu și prioritar</w:t>
      </w:r>
      <w:r>
        <w:t xml:space="preserve"> față de procedura generală de validare facturi.</w:t>
      </w:r>
    </w:p>
    <w:p w14:paraId="58F68778" w14:textId="77777777" w:rsidR="00D254B0" w:rsidRDefault="00D254B0">
      <w:pPr>
        <w:pStyle w:val="Heading2"/>
        <w:rPr>
          <w:rStyle w:val="Strong"/>
          <w:bCs w:val="0"/>
        </w:rPr>
      </w:pPr>
    </w:p>
    <w:p w14:paraId="04B7F5B7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2. Domeniul de aplicare</w:t>
      </w:r>
    </w:p>
    <w:p w14:paraId="205A2F45" w14:textId="77777777" w:rsidR="00D254B0" w:rsidRDefault="006A268A">
      <w:pPr>
        <w:pStyle w:val="NormalWeb"/>
      </w:pPr>
      <w:r>
        <w:t>Procedura se aplică:</w:t>
      </w:r>
    </w:p>
    <w:p w14:paraId="3ED42FFA" w14:textId="77777777" w:rsidR="00D254B0" w:rsidRDefault="006A268A">
      <w:pPr>
        <w:pStyle w:val="NormalWeb"/>
        <w:numPr>
          <w:ilvl w:val="0"/>
          <w:numId w:val="10"/>
        </w:numPr>
      </w:pPr>
      <w:r>
        <w:lastRenderedPageBreak/>
        <w:t xml:space="preserve">tuturor facturilor identificate ca având </w:t>
      </w:r>
      <w:r>
        <w:rPr>
          <w:rStyle w:val="Strong"/>
        </w:rPr>
        <w:t>risc fiscal ridicat</w:t>
      </w:r>
      <w:r>
        <w:t>;</w:t>
      </w:r>
    </w:p>
    <w:p w14:paraId="6D414F5A" w14:textId="77777777" w:rsidR="00D254B0" w:rsidRDefault="006A268A">
      <w:pPr>
        <w:pStyle w:val="NormalWeb"/>
        <w:numPr>
          <w:ilvl w:val="0"/>
          <w:numId w:val="10"/>
        </w:numPr>
      </w:pPr>
      <w:r>
        <w:t>tuturor documentelor conexe (contracte, comenzi, note de recepție);</w:t>
      </w:r>
    </w:p>
    <w:p w14:paraId="7D8E1F1C" w14:textId="77777777" w:rsidR="00D254B0" w:rsidRDefault="006A268A">
      <w:pPr>
        <w:pStyle w:val="NormalWeb"/>
        <w:numPr>
          <w:ilvl w:val="0"/>
          <w:numId w:val="10"/>
        </w:numPr>
      </w:pPr>
      <w:r>
        <w:t>departamentului financiar–contabil;</w:t>
      </w:r>
    </w:p>
    <w:p w14:paraId="504C7945" w14:textId="77777777" w:rsidR="00D254B0" w:rsidRDefault="006A268A">
      <w:pPr>
        <w:pStyle w:val="NormalWeb"/>
        <w:numPr>
          <w:ilvl w:val="0"/>
          <w:numId w:val="10"/>
        </w:numPr>
      </w:pPr>
      <w:r>
        <w:t>administratorului;</w:t>
      </w:r>
    </w:p>
    <w:p w14:paraId="20D52EE6" w14:textId="77777777" w:rsidR="00D254B0" w:rsidRDefault="006A268A">
      <w:pPr>
        <w:pStyle w:val="NormalWeb"/>
        <w:numPr>
          <w:ilvl w:val="0"/>
          <w:numId w:val="10"/>
        </w:numPr>
      </w:pPr>
      <w:r>
        <w:t xml:space="preserve">persoanelor cu atribuții de </w:t>
      </w:r>
      <w:r>
        <w:t>aprobare a plăților.</w:t>
      </w:r>
    </w:p>
    <w:p w14:paraId="2D74F76F" w14:textId="77777777" w:rsidR="00D254B0" w:rsidRDefault="00D254B0">
      <w:pPr>
        <w:pStyle w:val="Heading2"/>
        <w:rPr>
          <w:rStyle w:val="Strong"/>
          <w:bCs w:val="0"/>
        </w:rPr>
      </w:pPr>
    </w:p>
    <w:p w14:paraId="7B453AE8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3. Baza legală (actualizată 2026)</w:t>
      </w:r>
    </w:p>
    <w:p w14:paraId="29F1D177" w14:textId="77777777" w:rsidR="00D254B0" w:rsidRDefault="006A268A">
      <w:pPr>
        <w:pStyle w:val="NormalWeb"/>
      </w:pPr>
      <w:r>
        <w:t>Procedura este elaborată în conformitate cu:</w:t>
      </w:r>
    </w:p>
    <w:p w14:paraId="3CFD8D62" w14:textId="77777777" w:rsidR="00D254B0" w:rsidRDefault="006A268A">
      <w:pPr>
        <w:pStyle w:val="NormalWeb"/>
        <w:numPr>
          <w:ilvl w:val="0"/>
          <w:numId w:val="7"/>
        </w:numPr>
      </w:pPr>
      <w:r>
        <w:t>Codul fiscal;</w:t>
      </w:r>
    </w:p>
    <w:p w14:paraId="6625C98F" w14:textId="77777777" w:rsidR="00D254B0" w:rsidRDefault="006A268A">
      <w:pPr>
        <w:pStyle w:val="NormalWeb"/>
        <w:numPr>
          <w:ilvl w:val="0"/>
          <w:numId w:val="7"/>
        </w:numPr>
      </w:pPr>
      <w:r>
        <w:t>Codul de procedură fiscală;</w:t>
      </w:r>
    </w:p>
    <w:p w14:paraId="52B24E70" w14:textId="77777777" w:rsidR="00D254B0" w:rsidRDefault="006A268A">
      <w:pPr>
        <w:pStyle w:val="NormalWeb"/>
        <w:numPr>
          <w:ilvl w:val="0"/>
          <w:numId w:val="7"/>
        </w:numPr>
      </w:pPr>
      <w:r>
        <w:t>legislația privind RO e-Factura;</w:t>
      </w:r>
    </w:p>
    <w:p w14:paraId="1D77F036" w14:textId="77777777" w:rsidR="00D254B0" w:rsidRDefault="006A268A">
      <w:pPr>
        <w:pStyle w:val="NormalWeb"/>
        <w:numPr>
          <w:ilvl w:val="0"/>
          <w:numId w:val="7"/>
        </w:numPr>
      </w:pPr>
      <w:r>
        <w:t>principiul diligenței administratorului;</w:t>
      </w:r>
    </w:p>
    <w:p w14:paraId="1D471313" w14:textId="77777777" w:rsidR="00D254B0" w:rsidRDefault="006A268A">
      <w:pPr>
        <w:pStyle w:val="NormalWeb"/>
        <w:numPr>
          <w:ilvl w:val="0"/>
          <w:numId w:val="7"/>
        </w:numPr>
      </w:pPr>
      <w:r>
        <w:t>practica ANAF privind analiza de risc fiscal;</w:t>
      </w:r>
    </w:p>
    <w:p w14:paraId="4AB37002" w14:textId="77777777" w:rsidR="00D254B0" w:rsidRDefault="006A268A">
      <w:pPr>
        <w:pStyle w:val="NormalWeb"/>
        <w:numPr>
          <w:ilvl w:val="0"/>
          <w:numId w:val="7"/>
        </w:numPr>
      </w:pPr>
      <w:r>
        <w:t>orientările curente privind combaterea fraudelor fiscale.</w:t>
      </w:r>
    </w:p>
    <w:p w14:paraId="60DCC7BA" w14:textId="50B648F2" w:rsidR="00D254B0" w:rsidRPr="006A268A" w:rsidRDefault="006A268A">
      <w:pPr>
        <w:pStyle w:val="NormalWeb"/>
        <w:rPr>
          <w:i/>
          <w:iCs/>
        </w:rPr>
      </w:pPr>
      <w:r w:rsidRPr="006A268A">
        <w:rPr>
          <w:rStyle w:val="Strong"/>
          <w:i/>
          <w:iCs/>
        </w:rPr>
        <w:t>Context 2026:</w:t>
      </w:r>
      <w:r w:rsidRPr="006A268A">
        <w:rPr>
          <w:i/>
          <w:iCs/>
        </w:rPr>
        <w:br/>
        <w:t xml:space="preserve">Facturile cu risc ridicat sunt </w:t>
      </w:r>
      <w:r w:rsidRPr="006A268A">
        <w:rPr>
          <w:rStyle w:val="Strong"/>
          <w:i/>
          <w:iCs/>
        </w:rPr>
        <w:t>prioritar analizate automat</w:t>
      </w:r>
      <w:r w:rsidRPr="006A268A">
        <w:rPr>
          <w:i/>
          <w:iCs/>
        </w:rPr>
        <w:t xml:space="preserve"> de ANAF prin corelări e-Factura – TVA – declarații – parteneri.</w:t>
      </w:r>
    </w:p>
    <w:p w14:paraId="10E723F5" w14:textId="77777777" w:rsidR="00D254B0" w:rsidRDefault="00D254B0">
      <w:pPr>
        <w:pStyle w:val="Heading2"/>
        <w:rPr>
          <w:rStyle w:val="Strong"/>
          <w:bCs w:val="0"/>
        </w:rPr>
      </w:pPr>
    </w:p>
    <w:p w14:paraId="0E5B2B60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4. Definiții</w:t>
      </w:r>
    </w:p>
    <w:p w14:paraId="5A9BAC48" w14:textId="77777777" w:rsidR="00D254B0" w:rsidRDefault="006A268A">
      <w:pPr>
        <w:pStyle w:val="NormalWeb"/>
        <w:numPr>
          <w:ilvl w:val="0"/>
          <w:numId w:val="19"/>
        </w:numPr>
      </w:pPr>
      <w:r>
        <w:rPr>
          <w:rStyle w:val="Strong"/>
        </w:rPr>
        <w:t>Factură cu risc ridicat</w:t>
      </w:r>
      <w:r>
        <w:t xml:space="preserve"> – factură care prezintă unul sau mai mulți indicatori de risc fiscal;</w:t>
      </w:r>
    </w:p>
    <w:p w14:paraId="212D3F05" w14:textId="77777777" w:rsidR="00D254B0" w:rsidRDefault="006A268A">
      <w:pPr>
        <w:pStyle w:val="NormalWeb"/>
        <w:numPr>
          <w:ilvl w:val="0"/>
          <w:numId w:val="19"/>
        </w:numPr>
      </w:pPr>
      <w:r>
        <w:rPr>
          <w:rStyle w:val="Strong"/>
        </w:rPr>
        <w:t>Indicator de risc</w:t>
      </w:r>
      <w:r>
        <w:t xml:space="preserve"> – element care crește probabilitatea unei ajustări fiscale;</w:t>
      </w:r>
    </w:p>
    <w:p w14:paraId="5FD755C4" w14:textId="77777777" w:rsidR="00D254B0" w:rsidRDefault="006A268A">
      <w:pPr>
        <w:pStyle w:val="NormalWeb"/>
        <w:numPr>
          <w:ilvl w:val="0"/>
          <w:numId w:val="19"/>
        </w:numPr>
      </w:pPr>
      <w:r>
        <w:rPr>
          <w:rStyle w:val="Strong"/>
        </w:rPr>
        <w:t>Validare suplimentară</w:t>
      </w:r>
      <w:r>
        <w:t xml:space="preserve"> – set de controale extinse față de procedura standard.</w:t>
      </w:r>
    </w:p>
    <w:p w14:paraId="63022DD2" w14:textId="77777777" w:rsidR="00D254B0" w:rsidRDefault="00D254B0">
      <w:pPr>
        <w:pStyle w:val="Heading2"/>
        <w:rPr>
          <w:rStyle w:val="Strong"/>
          <w:bCs w:val="0"/>
        </w:rPr>
      </w:pPr>
    </w:p>
    <w:p w14:paraId="65A4C786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5. Principii generale</w:t>
      </w:r>
    </w:p>
    <w:p w14:paraId="7D8751A4" w14:textId="77777777" w:rsidR="00D254B0" w:rsidRDefault="006A268A">
      <w:pPr>
        <w:pStyle w:val="NormalWeb"/>
      </w:pPr>
      <w:r>
        <w:t>Gestionarea facturilor cu risc ridicat se bazează pe:</w:t>
      </w:r>
    </w:p>
    <w:p w14:paraId="4B540B58" w14:textId="77777777" w:rsidR="00D254B0" w:rsidRDefault="006A268A">
      <w:pPr>
        <w:pStyle w:val="NormalWeb"/>
        <w:numPr>
          <w:ilvl w:val="0"/>
          <w:numId w:val="2"/>
        </w:numPr>
      </w:pPr>
      <w:r>
        <w:t>prudență fiscală;</w:t>
      </w:r>
    </w:p>
    <w:p w14:paraId="72441817" w14:textId="77777777" w:rsidR="00D254B0" w:rsidRDefault="006A268A">
      <w:pPr>
        <w:pStyle w:val="NormalWeb"/>
        <w:numPr>
          <w:ilvl w:val="0"/>
          <w:numId w:val="2"/>
        </w:numPr>
      </w:pPr>
      <w:r>
        <w:t>documentare extinsă;</w:t>
      </w:r>
    </w:p>
    <w:p w14:paraId="395D247D" w14:textId="77777777" w:rsidR="00D254B0" w:rsidRDefault="006A268A">
      <w:pPr>
        <w:pStyle w:val="NormalWeb"/>
        <w:numPr>
          <w:ilvl w:val="0"/>
          <w:numId w:val="2"/>
        </w:numPr>
      </w:pPr>
      <w:r>
        <w:t>aprobare ierarhică;</w:t>
      </w:r>
    </w:p>
    <w:p w14:paraId="454DAC3F" w14:textId="77777777" w:rsidR="00D254B0" w:rsidRDefault="006A268A">
      <w:pPr>
        <w:pStyle w:val="NormalWeb"/>
        <w:numPr>
          <w:ilvl w:val="0"/>
          <w:numId w:val="2"/>
        </w:numPr>
      </w:pPr>
      <w:r>
        <w:t>trasabilitate completă;</w:t>
      </w:r>
    </w:p>
    <w:p w14:paraId="4FD5C8C0" w14:textId="77777777" w:rsidR="00D254B0" w:rsidRDefault="006A268A">
      <w:pPr>
        <w:pStyle w:val="NormalWeb"/>
        <w:numPr>
          <w:ilvl w:val="0"/>
          <w:numId w:val="2"/>
        </w:numPr>
      </w:pPr>
      <w:r>
        <w:t>prevenirea plăților nejustificate.</w:t>
      </w:r>
    </w:p>
    <w:p w14:paraId="57833BC0" w14:textId="77777777" w:rsidR="00D254B0" w:rsidRPr="006A268A" w:rsidRDefault="006A268A">
      <w:pPr>
        <w:pStyle w:val="NormalWeb"/>
        <w:rPr>
          <w:i/>
          <w:iCs/>
        </w:rPr>
      </w:pPr>
      <w:r w:rsidRPr="006A268A">
        <w:rPr>
          <w:rStyle w:val="Strong"/>
          <w:i/>
          <w:iCs/>
        </w:rPr>
        <w:t>Atenționare majoră:</w:t>
      </w:r>
      <w:r w:rsidRPr="006A268A">
        <w:rPr>
          <w:i/>
          <w:iCs/>
        </w:rPr>
        <w:br/>
      </w:r>
      <w:r w:rsidRPr="006A268A">
        <w:rPr>
          <w:i/>
          <w:iCs/>
        </w:rPr>
        <w:t xml:space="preserve">Plata unei facturi cu risc ridicat fără aplicarea acestei proceduri reprezintă </w:t>
      </w:r>
      <w:r w:rsidRPr="006A268A">
        <w:rPr>
          <w:rStyle w:val="Strong"/>
          <w:i/>
          <w:iCs/>
        </w:rPr>
        <w:t>neglijență fiscală</w:t>
      </w:r>
      <w:r w:rsidRPr="006A268A">
        <w:rPr>
          <w:i/>
          <w:iCs/>
        </w:rPr>
        <w:t>.</w:t>
      </w:r>
    </w:p>
    <w:p w14:paraId="609811F6" w14:textId="77777777" w:rsidR="00D254B0" w:rsidRDefault="00D254B0">
      <w:pPr>
        <w:pStyle w:val="Heading2"/>
        <w:rPr>
          <w:rStyle w:val="Strong"/>
          <w:bCs w:val="0"/>
        </w:rPr>
      </w:pPr>
    </w:p>
    <w:p w14:paraId="44F5E2B5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6. Identificarea facturilor cu risc ridicat</w:t>
      </w:r>
    </w:p>
    <w:p w14:paraId="28071984" w14:textId="77777777" w:rsidR="00D254B0" w:rsidRDefault="006A268A">
      <w:pPr>
        <w:pStyle w:val="NormalWeb"/>
      </w:pPr>
      <w:r>
        <w:t xml:space="preserve">O factură este considerată cu risc ridicat dacă îndeplinește </w:t>
      </w:r>
      <w:r>
        <w:rPr>
          <w:rStyle w:val="Strong"/>
        </w:rPr>
        <w:t>cel puțin unul</w:t>
      </w:r>
      <w:r>
        <w:t xml:space="preserve"> dintre următoarele criterii:</w:t>
      </w:r>
    </w:p>
    <w:p w14:paraId="336A95AD" w14:textId="77777777" w:rsidR="00D254B0" w:rsidRDefault="006A268A">
      <w:pPr>
        <w:pStyle w:val="Heading3"/>
      </w:pPr>
      <w:r>
        <w:rPr>
          <w:rStyle w:val="Strong"/>
          <w:bCs w:val="0"/>
        </w:rPr>
        <w:t>6.1 Indicatori fiscali</w:t>
      </w:r>
    </w:p>
    <w:p w14:paraId="1AFCD495" w14:textId="77777777" w:rsidR="00D254B0" w:rsidRDefault="006A268A">
      <w:pPr>
        <w:pStyle w:val="NormalWeb"/>
        <w:numPr>
          <w:ilvl w:val="0"/>
          <w:numId w:val="14"/>
        </w:numPr>
      </w:pPr>
      <w:r>
        <w:t>regim TVA neobișnuit;</w:t>
      </w:r>
    </w:p>
    <w:p w14:paraId="70741D96" w14:textId="77777777" w:rsidR="00D254B0" w:rsidRDefault="006A268A">
      <w:pPr>
        <w:pStyle w:val="NormalWeb"/>
        <w:numPr>
          <w:ilvl w:val="0"/>
          <w:numId w:val="14"/>
        </w:numPr>
      </w:pPr>
      <w:r>
        <w:t>TVA deductibil semnificativ;</w:t>
      </w:r>
    </w:p>
    <w:p w14:paraId="319FEBF2" w14:textId="77777777" w:rsidR="00D254B0" w:rsidRDefault="006A268A">
      <w:pPr>
        <w:pStyle w:val="NormalWeb"/>
        <w:numPr>
          <w:ilvl w:val="0"/>
          <w:numId w:val="14"/>
        </w:numPr>
      </w:pPr>
      <w:r>
        <w:t>factură emisă de furnizor cu comportament fiscal problematic;</w:t>
      </w:r>
    </w:p>
    <w:p w14:paraId="5F2B5E7B" w14:textId="77777777" w:rsidR="00D254B0" w:rsidRDefault="006A268A">
      <w:pPr>
        <w:pStyle w:val="NormalWeb"/>
        <w:numPr>
          <w:ilvl w:val="0"/>
          <w:numId w:val="14"/>
        </w:numPr>
      </w:pPr>
      <w:r>
        <w:t>diferențe între e-Factura și documentul primit.</w:t>
      </w:r>
    </w:p>
    <w:p w14:paraId="1DD47E09" w14:textId="77777777" w:rsidR="00D254B0" w:rsidRDefault="00D254B0">
      <w:pPr>
        <w:pStyle w:val="Heading3"/>
        <w:rPr>
          <w:rStyle w:val="Strong"/>
          <w:bCs w:val="0"/>
        </w:rPr>
      </w:pPr>
    </w:p>
    <w:p w14:paraId="7BF3E194" w14:textId="77777777" w:rsidR="00D254B0" w:rsidRDefault="006A268A">
      <w:pPr>
        <w:pStyle w:val="Heading3"/>
      </w:pPr>
      <w:r>
        <w:rPr>
          <w:rStyle w:val="Strong"/>
          <w:bCs w:val="0"/>
        </w:rPr>
        <w:t>6.2 Indicatori economici</w:t>
      </w:r>
    </w:p>
    <w:p w14:paraId="5621E173" w14:textId="77777777" w:rsidR="00D254B0" w:rsidRDefault="006A268A">
      <w:pPr>
        <w:pStyle w:val="NormalWeb"/>
        <w:numPr>
          <w:ilvl w:val="0"/>
          <w:numId w:val="9"/>
        </w:numPr>
      </w:pPr>
      <w:r>
        <w:t>valoare mare raportată la activitatea societății;</w:t>
      </w:r>
    </w:p>
    <w:p w14:paraId="6CD2EE30" w14:textId="77777777" w:rsidR="00D254B0" w:rsidRDefault="006A268A">
      <w:pPr>
        <w:pStyle w:val="NormalWeb"/>
        <w:numPr>
          <w:ilvl w:val="0"/>
          <w:numId w:val="9"/>
        </w:numPr>
      </w:pPr>
      <w:r>
        <w:t>servicii greu de cuantificat;</w:t>
      </w:r>
    </w:p>
    <w:p w14:paraId="7308997A" w14:textId="77777777" w:rsidR="00D254B0" w:rsidRDefault="006A268A">
      <w:pPr>
        <w:pStyle w:val="NormalWeb"/>
        <w:numPr>
          <w:ilvl w:val="0"/>
          <w:numId w:val="9"/>
        </w:numPr>
      </w:pPr>
      <w:r>
        <w:t>lipsa documentelor justificative clare;</w:t>
      </w:r>
    </w:p>
    <w:p w14:paraId="2BF4C8D8" w14:textId="77777777" w:rsidR="00D254B0" w:rsidRDefault="006A268A">
      <w:pPr>
        <w:pStyle w:val="NormalWeb"/>
        <w:numPr>
          <w:ilvl w:val="0"/>
          <w:numId w:val="9"/>
        </w:numPr>
      </w:pPr>
      <w:r>
        <w:t>cheltuieli recurente fără fundament economic.</w:t>
      </w:r>
    </w:p>
    <w:p w14:paraId="68C9D31E" w14:textId="77777777" w:rsidR="00D254B0" w:rsidRDefault="00D254B0">
      <w:pPr>
        <w:pStyle w:val="Heading3"/>
        <w:rPr>
          <w:rStyle w:val="Strong"/>
          <w:bCs w:val="0"/>
        </w:rPr>
      </w:pPr>
    </w:p>
    <w:p w14:paraId="21B51F22" w14:textId="77777777" w:rsidR="00D254B0" w:rsidRDefault="006A268A">
      <w:pPr>
        <w:pStyle w:val="Heading3"/>
      </w:pPr>
      <w:r>
        <w:rPr>
          <w:rStyle w:val="Strong"/>
          <w:bCs w:val="0"/>
        </w:rPr>
        <w:t>6.3 Indicatori operaționali</w:t>
      </w:r>
    </w:p>
    <w:p w14:paraId="3C783125" w14:textId="77777777" w:rsidR="00D254B0" w:rsidRDefault="006A268A">
      <w:pPr>
        <w:pStyle w:val="NormalWeb"/>
        <w:numPr>
          <w:ilvl w:val="0"/>
          <w:numId w:val="12"/>
        </w:numPr>
      </w:pPr>
      <w:r>
        <w:t>furnizor nou sau ocazional;</w:t>
      </w:r>
    </w:p>
    <w:p w14:paraId="6A023174" w14:textId="77777777" w:rsidR="00D254B0" w:rsidRDefault="006A268A">
      <w:pPr>
        <w:pStyle w:val="NormalWeb"/>
        <w:numPr>
          <w:ilvl w:val="0"/>
          <w:numId w:val="12"/>
        </w:numPr>
      </w:pPr>
      <w:r>
        <w:t>modificări frecvente ale datelor furnizorului;</w:t>
      </w:r>
    </w:p>
    <w:p w14:paraId="7130273F" w14:textId="77777777" w:rsidR="00D254B0" w:rsidRDefault="006A268A">
      <w:pPr>
        <w:pStyle w:val="NormalWeb"/>
        <w:numPr>
          <w:ilvl w:val="0"/>
          <w:numId w:val="12"/>
        </w:numPr>
      </w:pPr>
      <w:r>
        <w:t>presiune pentru plată rapidă;</w:t>
      </w:r>
    </w:p>
    <w:p w14:paraId="5F5EA29B" w14:textId="77777777" w:rsidR="00D254B0" w:rsidRDefault="006A268A">
      <w:pPr>
        <w:pStyle w:val="NormalWeb"/>
        <w:numPr>
          <w:ilvl w:val="0"/>
          <w:numId w:val="12"/>
        </w:numPr>
      </w:pPr>
      <w:r>
        <w:t>facturi corectate frecvent.</w:t>
      </w:r>
    </w:p>
    <w:p w14:paraId="4C9104ED" w14:textId="7C194A3F" w:rsidR="00D254B0" w:rsidRDefault="006A268A">
      <w:pPr>
        <w:pStyle w:val="NormalWeb"/>
      </w:pPr>
      <w:r>
        <w:rPr>
          <w:rStyle w:val="Strong"/>
        </w:rPr>
        <w:t>Exemplu:</w:t>
      </w:r>
      <w:r>
        <w:br/>
        <w:t>Servicii de consultanță generică, fără raport de activitate → risc ridicat.</w:t>
      </w:r>
    </w:p>
    <w:p w14:paraId="7276D229" w14:textId="77777777" w:rsidR="00D254B0" w:rsidRDefault="00D254B0">
      <w:pPr>
        <w:pStyle w:val="Heading2"/>
        <w:rPr>
          <w:rStyle w:val="Strong"/>
          <w:bCs w:val="0"/>
        </w:rPr>
      </w:pPr>
    </w:p>
    <w:p w14:paraId="53695578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7. Clasificarea nivelului de risc</w:t>
      </w:r>
    </w:p>
    <w:p w14:paraId="0B00D010" w14:textId="77777777" w:rsidR="00D254B0" w:rsidRDefault="006A268A">
      <w:pPr>
        <w:pStyle w:val="NormalWeb"/>
      </w:pPr>
      <w:r>
        <w:t>Facturile identificate sunt clasificate ca:</w:t>
      </w:r>
    </w:p>
    <w:p w14:paraId="393AA5C4" w14:textId="77777777" w:rsidR="00D254B0" w:rsidRDefault="006A268A">
      <w:pPr>
        <w:pStyle w:val="NormalWeb"/>
        <w:numPr>
          <w:ilvl w:val="0"/>
          <w:numId w:val="18"/>
        </w:numPr>
      </w:pPr>
      <w:r>
        <w:rPr>
          <w:rStyle w:val="Strong"/>
        </w:rPr>
        <w:t>risc mediu</w:t>
      </w:r>
      <w:r>
        <w:t xml:space="preserve"> – necesită verificări suplimentare;</w:t>
      </w:r>
    </w:p>
    <w:p w14:paraId="19F633A3" w14:textId="77777777" w:rsidR="00D254B0" w:rsidRDefault="006A268A">
      <w:pPr>
        <w:pStyle w:val="NormalWeb"/>
        <w:numPr>
          <w:ilvl w:val="0"/>
          <w:numId w:val="18"/>
        </w:numPr>
      </w:pPr>
      <w:r>
        <w:rPr>
          <w:rStyle w:val="Strong"/>
        </w:rPr>
        <w:t xml:space="preserve">risc </w:t>
      </w:r>
      <w:r>
        <w:rPr>
          <w:rStyle w:val="Strong"/>
        </w:rPr>
        <w:t>ridicat</w:t>
      </w:r>
      <w:r>
        <w:t xml:space="preserve"> – necesită aplicarea integrală a procedurii;</w:t>
      </w:r>
    </w:p>
    <w:p w14:paraId="1527A91E" w14:textId="77777777" w:rsidR="00D254B0" w:rsidRDefault="006A268A">
      <w:pPr>
        <w:pStyle w:val="NormalWeb"/>
        <w:numPr>
          <w:ilvl w:val="0"/>
          <w:numId w:val="18"/>
        </w:numPr>
      </w:pPr>
      <w:r>
        <w:rPr>
          <w:rStyle w:val="Strong"/>
        </w:rPr>
        <w:t>risc critic</w:t>
      </w:r>
      <w:r>
        <w:t xml:space="preserve"> – plata suspendată până la clarificare completă.</w:t>
      </w:r>
    </w:p>
    <w:p w14:paraId="2D8FA084" w14:textId="77777777" w:rsidR="00D254B0" w:rsidRDefault="00D254B0">
      <w:pPr>
        <w:pStyle w:val="Heading2"/>
        <w:rPr>
          <w:rStyle w:val="Strong"/>
          <w:bCs w:val="0"/>
        </w:rPr>
      </w:pPr>
    </w:p>
    <w:p w14:paraId="7A0DBFC4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8. Validarea suplimentară a facturilor cu risc ridicat</w:t>
      </w:r>
    </w:p>
    <w:p w14:paraId="7C82BDE8" w14:textId="77777777" w:rsidR="00D254B0" w:rsidRDefault="006A268A">
      <w:pPr>
        <w:pStyle w:val="NormalWeb"/>
      </w:pPr>
      <w:r>
        <w:t>Pentru aceste facturi se efectuează, suplimentar față de checklist-ul standard:</w:t>
      </w:r>
    </w:p>
    <w:p w14:paraId="3EBC694A" w14:textId="77777777" w:rsidR="00D254B0" w:rsidRDefault="006A268A">
      <w:pPr>
        <w:pStyle w:val="Heading3"/>
      </w:pPr>
      <w:r>
        <w:rPr>
          <w:rStyle w:val="Strong"/>
          <w:bCs w:val="0"/>
        </w:rPr>
        <w:t>8.1 Verificări documentare</w:t>
      </w:r>
    </w:p>
    <w:p w14:paraId="5D200709" w14:textId="77777777" w:rsidR="00D254B0" w:rsidRDefault="006A268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contract semnat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comenzi/rapoarte de activitate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dovada prestării efective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documente de recepție</w:t>
      </w:r>
    </w:p>
    <w:p w14:paraId="30BAC53A" w14:textId="77777777" w:rsidR="00D254B0" w:rsidRDefault="00D254B0">
      <w:pPr>
        <w:pStyle w:val="Heading3"/>
        <w:rPr>
          <w:rStyle w:val="Strong"/>
          <w:bCs w:val="0"/>
        </w:rPr>
      </w:pPr>
    </w:p>
    <w:p w14:paraId="082D1D90" w14:textId="77777777" w:rsidR="00D254B0" w:rsidRDefault="006A268A">
      <w:pPr>
        <w:pStyle w:val="Heading3"/>
      </w:pPr>
      <w:r>
        <w:rPr>
          <w:rStyle w:val="Strong"/>
          <w:bCs w:val="0"/>
        </w:rPr>
        <w:t>8.2 Verificări fiscale</w:t>
      </w:r>
    </w:p>
    <w:p w14:paraId="45D3C879" w14:textId="77777777" w:rsidR="00D254B0" w:rsidRDefault="006A268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verificare furnizor (status fiscal)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verificare cod TVA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corelare cu e-Factura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analiză deductibilitate</w:t>
      </w:r>
    </w:p>
    <w:p w14:paraId="68BE9568" w14:textId="77777777" w:rsidR="00D254B0" w:rsidRDefault="00D254B0">
      <w:pPr>
        <w:pStyle w:val="Heading3"/>
        <w:rPr>
          <w:rStyle w:val="Strong"/>
          <w:bCs w:val="0"/>
        </w:rPr>
      </w:pPr>
    </w:p>
    <w:p w14:paraId="7276B39C" w14:textId="77777777" w:rsidR="00D254B0" w:rsidRDefault="006A268A">
      <w:pPr>
        <w:pStyle w:val="Heading3"/>
      </w:pPr>
      <w:r>
        <w:rPr>
          <w:rStyle w:val="Strong"/>
          <w:bCs w:val="0"/>
        </w:rPr>
        <w:t>8.3 Verificări economice</w:t>
      </w:r>
    </w:p>
    <w:p w14:paraId="4ED5590A" w14:textId="77777777" w:rsidR="00D254B0" w:rsidRDefault="006A268A">
      <w:pPr>
        <w:pStyle w:val="NormalWeb"/>
      </w:pP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necesitate pentru activitatea societății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proporționalitate valoare/beneficiu</w:t>
      </w:r>
      <w:r>
        <w:br/>
      </w:r>
      <w:r>
        <w:rPr>
          <w:rFonts w:ascii="MS Gothic;ＭＳ ゴシック" w:eastAsia="MS Gothic;ＭＳ ゴシック" w:hAnsi="MS Gothic;ＭＳ ゴシック" w:cs="MS Gothic;ＭＳ ゴシック" w:hint="eastAsia"/>
        </w:rPr>
        <w:t>☐</w:t>
      </w:r>
      <w:r>
        <w:t xml:space="preserve"> justificare economică scrisă</w:t>
      </w:r>
    </w:p>
    <w:p w14:paraId="69C5A7BA" w14:textId="77777777" w:rsidR="00D254B0" w:rsidRDefault="00D254B0">
      <w:pPr>
        <w:pStyle w:val="Heading2"/>
        <w:rPr>
          <w:rStyle w:val="Strong"/>
          <w:bCs w:val="0"/>
        </w:rPr>
      </w:pPr>
    </w:p>
    <w:p w14:paraId="5EC07544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9. Aprobarea facturilor cu risc ridicat</w:t>
      </w:r>
    </w:p>
    <w:p w14:paraId="185FA4B9" w14:textId="77777777" w:rsidR="00D254B0" w:rsidRDefault="006A268A">
      <w:pPr>
        <w:pStyle w:val="NormalWeb"/>
      </w:pPr>
      <w:r>
        <w:t>Facturile cu risc ridicat:</w:t>
      </w:r>
    </w:p>
    <w:p w14:paraId="283EF9B7" w14:textId="77777777" w:rsidR="00D254B0" w:rsidRDefault="006A268A">
      <w:pPr>
        <w:pStyle w:val="NormalWeb"/>
        <w:numPr>
          <w:ilvl w:val="0"/>
          <w:numId w:val="5"/>
        </w:numPr>
      </w:pPr>
      <w:r>
        <w:rPr>
          <w:rStyle w:val="Strong"/>
        </w:rPr>
        <w:t>nu se plătesc automat</w:t>
      </w:r>
      <w:r>
        <w:t>;</w:t>
      </w:r>
    </w:p>
    <w:p w14:paraId="12FEB747" w14:textId="77777777" w:rsidR="00D254B0" w:rsidRDefault="006A268A">
      <w:pPr>
        <w:pStyle w:val="NormalWeb"/>
        <w:numPr>
          <w:ilvl w:val="0"/>
          <w:numId w:val="5"/>
        </w:numPr>
      </w:pPr>
      <w:r>
        <w:t xml:space="preserve">se aprobă </w:t>
      </w:r>
      <w:r>
        <w:rPr>
          <w:rStyle w:val="Strong"/>
        </w:rPr>
        <w:t>exclusiv de administrator</w:t>
      </w:r>
      <w:r>
        <w:t xml:space="preserve"> sau persoană delegată;</w:t>
      </w:r>
    </w:p>
    <w:p w14:paraId="50C9D172" w14:textId="77777777" w:rsidR="00D254B0" w:rsidRDefault="006A268A">
      <w:pPr>
        <w:pStyle w:val="NormalWeb"/>
        <w:numPr>
          <w:ilvl w:val="0"/>
          <w:numId w:val="5"/>
        </w:numPr>
      </w:pPr>
      <w:r>
        <w:t>necesită notă de fundamentare.</w:t>
      </w:r>
    </w:p>
    <w:p w14:paraId="6974D429" w14:textId="77777777" w:rsidR="00D254B0" w:rsidRDefault="006A268A">
      <w:pPr>
        <w:pStyle w:val="NormalWeb"/>
        <w:rPr>
          <w:i/>
        </w:rPr>
      </w:pPr>
      <w:r>
        <w:rPr>
          <w:i/>
        </w:rPr>
        <w:t>Lipsa aprobării scrise = interdicție de plată.</w:t>
      </w:r>
    </w:p>
    <w:p w14:paraId="41FC0941" w14:textId="77777777" w:rsidR="00D254B0" w:rsidRDefault="00D254B0">
      <w:pPr>
        <w:pStyle w:val="Heading2"/>
        <w:rPr>
          <w:rStyle w:val="Strong"/>
          <w:bCs w:val="0"/>
        </w:rPr>
      </w:pPr>
    </w:p>
    <w:p w14:paraId="7CFBCCB7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10. Suspendarea plății</w:t>
      </w:r>
    </w:p>
    <w:p w14:paraId="62E97AF8" w14:textId="77777777" w:rsidR="00D254B0" w:rsidRDefault="006A268A">
      <w:pPr>
        <w:pStyle w:val="NormalWeb"/>
      </w:pPr>
      <w:r>
        <w:t>Plata se suspendă dacă:</w:t>
      </w:r>
    </w:p>
    <w:p w14:paraId="321F6AEA" w14:textId="77777777" w:rsidR="00D254B0" w:rsidRDefault="006A268A">
      <w:pPr>
        <w:pStyle w:val="NormalWeb"/>
        <w:numPr>
          <w:ilvl w:val="0"/>
          <w:numId w:val="8"/>
        </w:numPr>
      </w:pPr>
      <w:r>
        <w:t>documentația este incompletă;</w:t>
      </w:r>
    </w:p>
    <w:p w14:paraId="7A555F48" w14:textId="77777777" w:rsidR="00D254B0" w:rsidRDefault="006A268A">
      <w:pPr>
        <w:pStyle w:val="NormalWeb"/>
        <w:numPr>
          <w:ilvl w:val="0"/>
          <w:numId w:val="8"/>
        </w:numPr>
      </w:pPr>
      <w:r>
        <w:lastRenderedPageBreak/>
        <w:t>există neconcordanțe fiscale;</w:t>
      </w:r>
    </w:p>
    <w:p w14:paraId="383549EA" w14:textId="77777777" w:rsidR="00D254B0" w:rsidRDefault="006A268A">
      <w:pPr>
        <w:pStyle w:val="NormalWeb"/>
        <w:numPr>
          <w:ilvl w:val="0"/>
          <w:numId w:val="8"/>
        </w:numPr>
      </w:pPr>
      <w:r>
        <w:t>există suspiciuni de fraudă;</w:t>
      </w:r>
    </w:p>
    <w:p w14:paraId="6F615A1D" w14:textId="77777777" w:rsidR="00D254B0" w:rsidRDefault="006A268A">
      <w:pPr>
        <w:pStyle w:val="NormalWeb"/>
        <w:numPr>
          <w:ilvl w:val="0"/>
          <w:numId w:val="8"/>
        </w:numPr>
      </w:pPr>
      <w:r>
        <w:t>furnizorul nu oferă clarificări.</w:t>
      </w:r>
    </w:p>
    <w:p w14:paraId="04CB0F03" w14:textId="77777777" w:rsidR="00D254B0" w:rsidRDefault="00D254B0">
      <w:pPr>
        <w:pStyle w:val="Heading2"/>
        <w:rPr>
          <w:rStyle w:val="Strong"/>
          <w:bCs w:val="0"/>
        </w:rPr>
      </w:pPr>
    </w:p>
    <w:p w14:paraId="7D0B9EF5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11. Decizia finală</w:t>
      </w:r>
    </w:p>
    <w:p w14:paraId="41DE1809" w14:textId="77777777" w:rsidR="00D254B0" w:rsidRDefault="006A268A">
      <w:pPr>
        <w:pStyle w:val="NormalWeb"/>
      </w:pPr>
      <w:r>
        <w:t>Administratorul poate decide:</w:t>
      </w:r>
    </w:p>
    <w:p w14:paraId="004CF501" w14:textId="77777777" w:rsidR="00D254B0" w:rsidRDefault="006A268A">
      <w:pPr>
        <w:pStyle w:val="NormalWeb"/>
        <w:numPr>
          <w:ilvl w:val="0"/>
          <w:numId w:val="6"/>
        </w:numPr>
      </w:pPr>
      <w:r>
        <w:t>aprobarea plății;</w:t>
      </w:r>
    </w:p>
    <w:p w14:paraId="235FD1C6" w14:textId="77777777" w:rsidR="00D254B0" w:rsidRDefault="006A268A">
      <w:pPr>
        <w:pStyle w:val="NormalWeb"/>
        <w:numPr>
          <w:ilvl w:val="0"/>
          <w:numId w:val="6"/>
        </w:numPr>
      </w:pPr>
      <w:r>
        <w:t>solicitarea de corecții;</w:t>
      </w:r>
    </w:p>
    <w:p w14:paraId="2DFF6B6E" w14:textId="77777777" w:rsidR="00D254B0" w:rsidRDefault="006A268A">
      <w:pPr>
        <w:pStyle w:val="NormalWeb"/>
        <w:numPr>
          <w:ilvl w:val="0"/>
          <w:numId w:val="6"/>
        </w:numPr>
      </w:pPr>
      <w:r>
        <w:t>respingerea definitivă a facturii;</w:t>
      </w:r>
    </w:p>
    <w:p w14:paraId="3AC91C4D" w14:textId="77777777" w:rsidR="00D254B0" w:rsidRDefault="006A268A">
      <w:pPr>
        <w:pStyle w:val="NormalWeb"/>
        <w:numPr>
          <w:ilvl w:val="0"/>
          <w:numId w:val="6"/>
        </w:numPr>
      </w:pPr>
      <w:r>
        <w:t>sesizarea consultantului fiscal.</w:t>
      </w:r>
    </w:p>
    <w:p w14:paraId="504F786F" w14:textId="77777777" w:rsidR="00D254B0" w:rsidRDefault="006A268A">
      <w:pPr>
        <w:pStyle w:val="NormalWeb"/>
      </w:pPr>
      <w:r>
        <w:t>Decizia se documentează.</w:t>
      </w:r>
    </w:p>
    <w:p w14:paraId="13CC1896" w14:textId="77777777" w:rsidR="00D254B0" w:rsidRDefault="00D254B0">
      <w:pPr>
        <w:pStyle w:val="Heading2"/>
        <w:rPr>
          <w:rStyle w:val="Strong"/>
          <w:bCs w:val="0"/>
        </w:rPr>
      </w:pPr>
    </w:p>
    <w:p w14:paraId="17D7F94D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 xml:space="preserve">12. Evidența facturilor cu risc </w:t>
      </w:r>
      <w:r w:rsidRPr="006A268A">
        <w:rPr>
          <w:rStyle w:val="Strong"/>
          <w:b/>
          <w:i w:val="0"/>
          <w:iCs/>
        </w:rPr>
        <w:t>ridicat</w:t>
      </w:r>
    </w:p>
    <w:p w14:paraId="5383CB66" w14:textId="77777777" w:rsidR="00D254B0" w:rsidRDefault="006A268A">
      <w:pPr>
        <w:pStyle w:val="NormalWeb"/>
      </w:pPr>
      <w:r>
        <w:t xml:space="preserve">Societatea menține un </w:t>
      </w:r>
      <w:r>
        <w:rPr>
          <w:rStyle w:val="Strong"/>
        </w:rPr>
        <w:t>registru separat</w:t>
      </w:r>
      <w:r>
        <w:t xml:space="preserve"> pentru:</w:t>
      </w:r>
    </w:p>
    <w:p w14:paraId="021EEC63" w14:textId="77777777" w:rsidR="00D254B0" w:rsidRDefault="006A268A">
      <w:pPr>
        <w:pStyle w:val="NormalWeb"/>
        <w:numPr>
          <w:ilvl w:val="0"/>
          <w:numId w:val="16"/>
        </w:numPr>
      </w:pPr>
      <w:r>
        <w:t>facturi cu risc ridicat;</w:t>
      </w:r>
    </w:p>
    <w:p w14:paraId="775F4DC1" w14:textId="77777777" w:rsidR="00D254B0" w:rsidRDefault="006A268A">
      <w:pPr>
        <w:pStyle w:val="NormalWeb"/>
        <w:numPr>
          <w:ilvl w:val="0"/>
          <w:numId w:val="16"/>
        </w:numPr>
      </w:pPr>
      <w:r>
        <w:t>decizii luate;</w:t>
      </w:r>
    </w:p>
    <w:p w14:paraId="1E36E35F" w14:textId="77777777" w:rsidR="00D254B0" w:rsidRDefault="006A268A">
      <w:pPr>
        <w:pStyle w:val="NormalWeb"/>
        <w:numPr>
          <w:ilvl w:val="0"/>
          <w:numId w:val="16"/>
        </w:numPr>
      </w:pPr>
      <w:r>
        <w:t>măsuri aplicate.</w:t>
      </w:r>
    </w:p>
    <w:p w14:paraId="3ABD8077" w14:textId="77777777" w:rsidR="00D254B0" w:rsidRDefault="006A268A">
      <w:pPr>
        <w:pStyle w:val="NormalWeb"/>
      </w:pPr>
      <w:r>
        <w:rPr>
          <w:i/>
        </w:rPr>
        <w:t xml:space="preserve">Acest registru este </w:t>
      </w:r>
      <w:r>
        <w:rPr>
          <w:rStyle w:val="Strong"/>
          <w:i/>
        </w:rPr>
        <w:t>document-cheie la control</w:t>
      </w:r>
      <w:r>
        <w:rPr>
          <w:i/>
        </w:rPr>
        <w:t>.</w:t>
      </w:r>
    </w:p>
    <w:p w14:paraId="12F61D9D" w14:textId="77777777" w:rsidR="00D254B0" w:rsidRDefault="00D254B0">
      <w:pPr>
        <w:pStyle w:val="Heading2"/>
        <w:rPr>
          <w:rStyle w:val="Strong"/>
          <w:bCs w:val="0"/>
        </w:rPr>
      </w:pPr>
    </w:p>
    <w:p w14:paraId="06DAD559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13. Monitorizare și control intern</w:t>
      </w:r>
    </w:p>
    <w:p w14:paraId="14376B7C" w14:textId="77777777" w:rsidR="00D254B0" w:rsidRDefault="006A268A">
      <w:pPr>
        <w:pStyle w:val="NormalWeb"/>
      </w:pPr>
      <w:r>
        <w:t>Facturile cu risc ridicat sunt:</w:t>
      </w:r>
    </w:p>
    <w:p w14:paraId="2D2337B5" w14:textId="77777777" w:rsidR="00D254B0" w:rsidRDefault="006A268A">
      <w:pPr>
        <w:pStyle w:val="NormalWeb"/>
        <w:numPr>
          <w:ilvl w:val="0"/>
          <w:numId w:val="3"/>
        </w:numPr>
      </w:pPr>
      <w:r>
        <w:t>analizate periodic;</w:t>
      </w:r>
    </w:p>
    <w:p w14:paraId="3B1CF56B" w14:textId="77777777" w:rsidR="00D254B0" w:rsidRDefault="006A268A">
      <w:pPr>
        <w:pStyle w:val="NormalWeb"/>
        <w:numPr>
          <w:ilvl w:val="0"/>
          <w:numId w:val="3"/>
        </w:numPr>
      </w:pPr>
      <w:r>
        <w:t>incluse în auditul fiscal intern;</w:t>
      </w:r>
    </w:p>
    <w:p w14:paraId="60FFDB77" w14:textId="77777777" w:rsidR="00D254B0" w:rsidRDefault="006A268A">
      <w:pPr>
        <w:pStyle w:val="NormalWeb"/>
        <w:numPr>
          <w:ilvl w:val="0"/>
          <w:numId w:val="3"/>
        </w:numPr>
      </w:pPr>
      <w:r>
        <w:t>corelate cu matricea de risc fiscal.</w:t>
      </w:r>
    </w:p>
    <w:p w14:paraId="52935D04" w14:textId="77777777" w:rsidR="00D254B0" w:rsidRDefault="00D254B0">
      <w:pPr>
        <w:pStyle w:val="Heading2"/>
        <w:rPr>
          <w:rStyle w:val="Strong"/>
          <w:bCs w:val="0"/>
        </w:rPr>
      </w:pPr>
    </w:p>
    <w:p w14:paraId="7A6434CC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14. Rolul administratorului</w:t>
      </w:r>
    </w:p>
    <w:p w14:paraId="714A67D9" w14:textId="77777777" w:rsidR="00D254B0" w:rsidRDefault="006A268A">
      <w:pPr>
        <w:pStyle w:val="NormalWeb"/>
      </w:pPr>
      <w:r>
        <w:t>Administratorul:</w:t>
      </w:r>
    </w:p>
    <w:p w14:paraId="4E7EE5D8" w14:textId="77777777" w:rsidR="00D254B0" w:rsidRDefault="006A268A">
      <w:pPr>
        <w:pStyle w:val="NormalWeb"/>
        <w:numPr>
          <w:ilvl w:val="0"/>
          <w:numId w:val="13"/>
        </w:numPr>
      </w:pPr>
      <w:r>
        <w:t>aprobă sau respinge facturile cu risc ridicat;</w:t>
      </w:r>
    </w:p>
    <w:p w14:paraId="75446C9A" w14:textId="77777777" w:rsidR="00D254B0" w:rsidRDefault="006A268A">
      <w:pPr>
        <w:pStyle w:val="NormalWeb"/>
        <w:numPr>
          <w:ilvl w:val="0"/>
          <w:numId w:val="13"/>
        </w:numPr>
      </w:pPr>
      <w:r>
        <w:t>demonstrează diligență fiscală;</w:t>
      </w:r>
    </w:p>
    <w:p w14:paraId="5D0747AE" w14:textId="77777777" w:rsidR="00D254B0" w:rsidRDefault="006A268A">
      <w:pPr>
        <w:pStyle w:val="NormalWeb"/>
        <w:numPr>
          <w:ilvl w:val="0"/>
          <w:numId w:val="13"/>
        </w:numPr>
      </w:pPr>
      <w:r>
        <w:t>reduce expunerea societății;</w:t>
      </w:r>
    </w:p>
    <w:p w14:paraId="7B55C23D" w14:textId="77777777" w:rsidR="00D254B0" w:rsidRDefault="006A268A">
      <w:pPr>
        <w:pStyle w:val="NormalWeb"/>
        <w:numPr>
          <w:ilvl w:val="0"/>
          <w:numId w:val="13"/>
        </w:numPr>
      </w:pPr>
      <w:r>
        <w:lastRenderedPageBreak/>
        <w:t>protejează patrimoniul.</w:t>
      </w:r>
    </w:p>
    <w:p w14:paraId="24098ACF" w14:textId="77777777" w:rsidR="00D254B0" w:rsidRPr="006A268A" w:rsidRDefault="006A268A">
      <w:pPr>
        <w:pStyle w:val="NormalWeb"/>
        <w:rPr>
          <w:i/>
          <w:iCs/>
        </w:rPr>
      </w:pPr>
      <w:r w:rsidRPr="006A268A">
        <w:rPr>
          <w:rStyle w:val="Strong"/>
          <w:i/>
          <w:iCs/>
        </w:rPr>
        <w:t>Atenționare:</w:t>
      </w:r>
      <w:r w:rsidRPr="006A268A">
        <w:rPr>
          <w:i/>
          <w:iCs/>
        </w:rPr>
        <w:br/>
        <w:t>Administratorul răspunde pentru lipsa de control asupra facturilor riscante.</w:t>
      </w:r>
    </w:p>
    <w:p w14:paraId="1D1EE95D" w14:textId="77777777" w:rsidR="00D254B0" w:rsidRDefault="00D254B0">
      <w:pPr>
        <w:pStyle w:val="Heading2"/>
        <w:rPr>
          <w:rStyle w:val="Strong"/>
          <w:bCs w:val="0"/>
        </w:rPr>
      </w:pPr>
    </w:p>
    <w:p w14:paraId="45EB572C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15. Sancțiuni și riscuri</w:t>
      </w:r>
    </w:p>
    <w:p w14:paraId="707C0A46" w14:textId="77777777" w:rsidR="00D254B0" w:rsidRDefault="006A268A">
      <w:pPr>
        <w:pStyle w:val="NormalWeb"/>
      </w:pPr>
      <w:r>
        <w:t>Nerespectarea procedurii poate conduce la:</w:t>
      </w:r>
    </w:p>
    <w:p w14:paraId="61A310B8" w14:textId="77777777" w:rsidR="00D254B0" w:rsidRDefault="006A268A">
      <w:pPr>
        <w:pStyle w:val="NormalWeb"/>
        <w:numPr>
          <w:ilvl w:val="0"/>
          <w:numId w:val="4"/>
        </w:numPr>
      </w:pPr>
      <w:r>
        <w:t>ajustări fiscale;</w:t>
      </w:r>
    </w:p>
    <w:p w14:paraId="47C55542" w14:textId="77777777" w:rsidR="00D254B0" w:rsidRDefault="006A268A">
      <w:pPr>
        <w:pStyle w:val="NormalWeb"/>
        <w:numPr>
          <w:ilvl w:val="0"/>
          <w:numId w:val="4"/>
        </w:numPr>
      </w:pPr>
      <w:r>
        <w:t>nedeductibilitate cheltuieli;</w:t>
      </w:r>
    </w:p>
    <w:p w14:paraId="7864ACD3" w14:textId="77777777" w:rsidR="00D254B0" w:rsidRDefault="006A268A">
      <w:pPr>
        <w:pStyle w:val="NormalWeb"/>
        <w:numPr>
          <w:ilvl w:val="0"/>
          <w:numId w:val="4"/>
        </w:numPr>
      </w:pPr>
      <w:r>
        <w:t>penalități și dobânzi;</w:t>
      </w:r>
    </w:p>
    <w:p w14:paraId="4947116A" w14:textId="77777777" w:rsidR="00D254B0" w:rsidRDefault="006A268A">
      <w:pPr>
        <w:pStyle w:val="NormalWeb"/>
        <w:numPr>
          <w:ilvl w:val="0"/>
          <w:numId w:val="4"/>
        </w:numPr>
      </w:pPr>
      <w:r>
        <w:t>includerea societății în profil de risc ridicat;</w:t>
      </w:r>
    </w:p>
    <w:p w14:paraId="4673E59A" w14:textId="77777777" w:rsidR="00D254B0" w:rsidRDefault="006A268A">
      <w:pPr>
        <w:pStyle w:val="NormalWeb"/>
        <w:numPr>
          <w:ilvl w:val="0"/>
          <w:numId w:val="4"/>
        </w:numPr>
      </w:pPr>
      <w:r>
        <w:t>răspunderea administratorului.</w:t>
      </w:r>
    </w:p>
    <w:p w14:paraId="673C1378" w14:textId="77777777" w:rsidR="00D254B0" w:rsidRDefault="00D254B0">
      <w:pPr>
        <w:pStyle w:val="Heading2"/>
        <w:rPr>
          <w:rStyle w:val="Strong"/>
          <w:bCs w:val="0"/>
        </w:rPr>
      </w:pPr>
    </w:p>
    <w:p w14:paraId="06C3CA39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16. Revizuirea procedurii</w:t>
      </w:r>
    </w:p>
    <w:p w14:paraId="2031A834" w14:textId="77777777" w:rsidR="00D254B0" w:rsidRDefault="006A268A">
      <w:pPr>
        <w:pStyle w:val="NormalWeb"/>
      </w:pPr>
      <w:r>
        <w:t>Procedura se revizuiește:</w:t>
      </w:r>
    </w:p>
    <w:p w14:paraId="2C0E8EE9" w14:textId="77777777" w:rsidR="00D254B0" w:rsidRDefault="006A268A">
      <w:pPr>
        <w:pStyle w:val="NormalWeb"/>
        <w:numPr>
          <w:ilvl w:val="0"/>
          <w:numId w:val="11"/>
        </w:numPr>
      </w:pPr>
      <w:r>
        <w:t>anual;</w:t>
      </w:r>
    </w:p>
    <w:p w14:paraId="458D4714" w14:textId="77777777" w:rsidR="00D254B0" w:rsidRDefault="006A268A">
      <w:pPr>
        <w:pStyle w:val="NormalWeb"/>
        <w:numPr>
          <w:ilvl w:val="0"/>
          <w:numId w:val="11"/>
        </w:numPr>
      </w:pPr>
      <w:r>
        <w:t>la modificări legislative;</w:t>
      </w:r>
    </w:p>
    <w:p w14:paraId="57EC9A37" w14:textId="77777777" w:rsidR="00D254B0" w:rsidRDefault="006A268A">
      <w:pPr>
        <w:pStyle w:val="NormalWeb"/>
        <w:numPr>
          <w:ilvl w:val="0"/>
          <w:numId w:val="11"/>
        </w:numPr>
      </w:pPr>
      <w:r>
        <w:t>după controale fiscale relevante.</w:t>
      </w:r>
    </w:p>
    <w:p w14:paraId="2AE5028E" w14:textId="77777777" w:rsidR="00D254B0" w:rsidRDefault="00D254B0">
      <w:pPr>
        <w:pStyle w:val="Heading2"/>
        <w:rPr>
          <w:rStyle w:val="Strong"/>
          <w:bCs w:val="0"/>
        </w:rPr>
      </w:pPr>
    </w:p>
    <w:p w14:paraId="2E9FBB82" w14:textId="77777777" w:rsidR="00D254B0" w:rsidRPr="006A268A" w:rsidRDefault="006A268A">
      <w:pPr>
        <w:pStyle w:val="Heading2"/>
        <w:rPr>
          <w:b w:val="0"/>
          <w:i w:val="0"/>
          <w:iCs/>
        </w:rPr>
      </w:pPr>
      <w:r w:rsidRPr="006A268A">
        <w:rPr>
          <w:rStyle w:val="Strong"/>
          <w:b/>
          <w:i w:val="0"/>
          <w:iCs/>
        </w:rPr>
        <w:t>17. Dispoziții finale</w:t>
      </w:r>
    </w:p>
    <w:p w14:paraId="40E92D5D" w14:textId="77777777" w:rsidR="00D254B0" w:rsidRDefault="006A268A">
      <w:pPr>
        <w:pStyle w:val="NormalWeb"/>
      </w:pPr>
      <w:r>
        <w:t xml:space="preserve">Prezenta procedură intră în vigoare la data </w:t>
      </w:r>
      <w:r>
        <w:t>aprobării și este obligatorie pentru toate persoanele implicate.</w:t>
      </w:r>
    </w:p>
    <w:p w14:paraId="4C7E1908" w14:textId="77777777" w:rsidR="00D254B0" w:rsidRDefault="00D254B0">
      <w:pPr>
        <w:pStyle w:val="Heading3"/>
        <w:rPr>
          <w:rFonts w:ascii="Times New Roman" w:hAnsi="Times New Roman" w:cs="Times New Roman"/>
        </w:rPr>
      </w:pPr>
    </w:p>
    <w:p w14:paraId="1C93365A" w14:textId="71424706" w:rsidR="00D254B0" w:rsidRPr="006A268A" w:rsidRDefault="006A268A">
      <w:pPr>
        <w:pStyle w:val="Heading3"/>
        <w:rPr>
          <w:b w:val="0"/>
        </w:rPr>
      </w:pPr>
      <w:r w:rsidRPr="006A268A">
        <w:rPr>
          <w:rStyle w:val="Strong"/>
          <w:b/>
        </w:rPr>
        <w:t>NOTĂ FINALĂ PENTRU ADMINISTRATORI</w:t>
      </w:r>
    </w:p>
    <w:p w14:paraId="5698EA7E" w14:textId="16ABA000" w:rsidR="00D254B0" w:rsidRDefault="006A268A">
      <w:pPr>
        <w:pStyle w:val="NormalWeb"/>
      </w:pPr>
      <w:r>
        <w:t>Această procedură:</w:t>
      </w:r>
    </w:p>
    <w:p w14:paraId="4368CEC5" w14:textId="77777777" w:rsidR="00D254B0" w:rsidRDefault="006A268A">
      <w:pPr>
        <w:pStyle w:val="NormalWeb"/>
        <w:numPr>
          <w:ilvl w:val="0"/>
          <w:numId w:val="15"/>
        </w:numPr>
      </w:pPr>
      <w:r>
        <w:t>este extrem de apreciată la controale ANAF;</w:t>
      </w:r>
    </w:p>
    <w:p w14:paraId="26D14418" w14:textId="77777777" w:rsidR="00D254B0" w:rsidRDefault="006A268A">
      <w:pPr>
        <w:pStyle w:val="NormalWeb"/>
        <w:numPr>
          <w:ilvl w:val="0"/>
          <w:numId w:val="15"/>
        </w:numPr>
      </w:pPr>
      <w:r>
        <w:t>reduce drastic ajustările fiscale;</w:t>
      </w:r>
    </w:p>
    <w:p w14:paraId="452E0F1B" w14:textId="77777777" w:rsidR="00D254B0" w:rsidRDefault="006A268A">
      <w:pPr>
        <w:pStyle w:val="NormalWeb"/>
        <w:numPr>
          <w:ilvl w:val="0"/>
          <w:numId w:val="15"/>
        </w:numPr>
      </w:pPr>
      <w:r>
        <w:t>demonstrează control intern avansat;</w:t>
      </w:r>
    </w:p>
    <w:p w14:paraId="1306561A" w14:textId="77777777" w:rsidR="00D254B0" w:rsidRDefault="006A268A">
      <w:pPr>
        <w:pStyle w:val="NormalWeb"/>
        <w:numPr>
          <w:ilvl w:val="0"/>
          <w:numId w:val="15"/>
        </w:numPr>
      </w:pPr>
      <w:r>
        <w:t>protejează direct administratorul.</w:t>
      </w:r>
    </w:p>
    <w:p w14:paraId="7521EE5F" w14:textId="77777777" w:rsidR="00D254B0" w:rsidRDefault="00D254B0"/>
    <w:sectPr w:rsidR="00D254B0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511"/>
    <w:multiLevelType w:val="multilevel"/>
    <w:tmpl w:val="86F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FC65AA"/>
    <w:multiLevelType w:val="multilevel"/>
    <w:tmpl w:val="D75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C073EF"/>
    <w:multiLevelType w:val="multilevel"/>
    <w:tmpl w:val="CB40EF7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015CF7"/>
    <w:multiLevelType w:val="multilevel"/>
    <w:tmpl w:val="680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37B0D4B"/>
    <w:multiLevelType w:val="multilevel"/>
    <w:tmpl w:val="6518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59F2B44"/>
    <w:multiLevelType w:val="multilevel"/>
    <w:tmpl w:val="18C6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BDD154D"/>
    <w:multiLevelType w:val="multilevel"/>
    <w:tmpl w:val="DDF0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C5767A2"/>
    <w:multiLevelType w:val="multilevel"/>
    <w:tmpl w:val="F9B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08D7AB7"/>
    <w:multiLevelType w:val="multilevel"/>
    <w:tmpl w:val="361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1FF7418"/>
    <w:multiLevelType w:val="multilevel"/>
    <w:tmpl w:val="37F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8D54C50"/>
    <w:multiLevelType w:val="multilevel"/>
    <w:tmpl w:val="B62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BB51340"/>
    <w:multiLevelType w:val="multilevel"/>
    <w:tmpl w:val="739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8770D67"/>
    <w:multiLevelType w:val="multilevel"/>
    <w:tmpl w:val="A38E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23C53E5"/>
    <w:multiLevelType w:val="multilevel"/>
    <w:tmpl w:val="9928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25D4DE7"/>
    <w:multiLevelType w:val="multilevel"/>
    <w:tmpl w:val="C3E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7C83103"/>
    <w:multiLevelType w:val="multilevel"/>
    <w:tmpl w:val="F9E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147068C"/>
    <w:multiLevelType w:val="multilevel"/>
    <w:tmpl w:val="B65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9933C68"/>
    <w:multiLevelType w:val="multilevel"/>
    <w:tmpl w:val="42E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BCF0964"/>
    <w:multiLevelType w:val="multilevel"/>
    <w:tmpl w:val="D7B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47553042">
    <w:abstractNumId w:val="2"/>
  </w:num>
  <w:num w:numId="2" w16cid:durableId="1872765176">
    <w:abstractNumId w:val="16"/>
  </w:num>
  <w:num w:numId="3" w16cid:durableId="1038505706">
    <w:abstractNumId w:val="10"/>
  </w:num>
  <w:num w:numId="4" w16cid:durableId="1139616540">
    <w:abstractNumId w:val="11"/>
  </w:num>
  <w:num w:numId="5" w16cid:durableId="559633560">
    <w:abstractNumId w:val="7"/>
  </w:num>
  <w:num w:numId="6" w16cid:durableId="190148761">
    <w:abstractNumId w:val="18"/>
  </w:num>
  <w:num w:numId="7" w16cid:durableId="1755518436">
    <w:abstractNumId w:val="12"/>
  </w:num>
  <w:num w:numId="8" w16cid:durableId="1335915581">
    <w:abstractNumId w:val="8"/>
  </w:num>
  <w:num w:numId="9" w16cid:durableId="386145902">
    <w:abstractNumId w:val="1"/>
  </w:num>
  <w:num w:numId="10" w16cid:durableId="1969238574">
    <w:abstractNumId w:val="17"/>
  </w:num>
  <w:num w:numId="11" w16cid:durableId="894003416">
    <w:abstractNumId w:val="5"/>
  </w:num>
  <w:num w:numId="12" w16cid:durableId="20054361">
    <w:abstractNumId w:val="13"/>
  </w:num>
  <w:num w:numId="13" w16cid:durableId="1151599903">
    <w:abstractNumId w:val="6"/>
  </w:num>
  <w:num w:numId="14" w16cid:durableId="1656716920">
    <w:abstractNumId w:val="3"/>
  </w:num>
  <w:num w:numId="15" w16cid:durableId="1301614384">
    <w:abstractNumId w:val="15"/>
  </w:num>
  <w:num w:numId="16" w16cid:durableId="1592541688">
    <w:abstractNumId w:val="0"/>
  </w:num>
  <w:num w:numId="17" w16cid:durableId="599458653">
    <w:abstractNumId w:val="9"/>
  </w:num>
  <w:num w:numId="18" w16cid:durableId="1646935127">
    <w:abstractNumId w:val="14"/>
  </w:num>
  <w:num w:numId="19" w16cid:durableId="1216433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54B0"/>
    <w:rsid w:val="006A268A"/>
    <w:rsid w:val="00D254B0"/>
    <w:rsid w:val="00E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BD8C"/>
  <w15:docId w15:val="{E888C6F8-9724-43BC-B610-1BF692D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6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558</cp:revision>
  <cp:lastPrinted>2024-12-10T11:09:00Z</cp:lastPrinted>
  <dcterms:created xsi:type="dcterms:W3CDTF">2013-08-26T08:01:00Z</dcterms:created>
  <dcterms:modified xsi:type="dcterms:W3CDTF">2026-05-08T12:30:00Z</dcterms:modified>
  <dc:language>en-US</dc:language>
</cp:coreProperties>
</file>