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F19B" w14:textId="77777777" w:rsidR="005B1754" w:rsidRDefault="00AF1154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41284B68" w14:textId="77777777" w:rsidR="00AF1154" w:rsidRDefault="00AF1154">
      <w:pPr>
        <w:pStyle w:val="Heading1"/>
      </w:pPr>
    </w:p>
    <w:p w14:paraId="09FE8A5F" w14:textId="5583ED02" w:rsidR="005B1754" w:rsidRPr="00AF1154" w:rsidRDefault="00AF1154" w:rsidP="00AF1154">
      <w:pPr>
        <w:pStyle w:val="Heading1"/>
        <w:jc w:val="center"/>
        <w:rPr>
          <w:rFonts w:ascii="Times New Roman" w:hAnsi="Times New Roman" w:cs="Times New Roman"/>
          <w:szCs w:val="32"/>
        </w:rPr>
      </w:pPr>
      <w:r w:rsidRPr="00AF1154">
        <w:rPr>
          <w:rFonts w:ascii="Times New Roman" w:hAnsi="Times New Roman" w:cs="Times New Roman"/>
          <w:szCs w:val="32"/>
        </w:rPr>
        <w:t>PROCEDURĂ</w:t>
      </w:r>
    </w:p>
    <w:p w14:paraId="050F27CC" w14:textId="360AC067" w:rsidR="005B1754" w:rsidRPr="00AF1154" w:rsidRDefault="00AF1154" w:rsidP="00AF1154">
      <w:pPr>
        <w:pStyle w:val="NormalWeb"/>
        <w:jc w:val="center"/>
        <w:rPr>
          <w:sz w:val="32"/>
          <w:szCs w:val="32"/>
        </w:rPr>
      </w:pPr>
      <w:r w:rsidRPr="00AF1154">
        <w:rPr>
          <w:sz w:val="32"/>
          <w:szCs w:val="32"/>
        </w:rPr>
        <w:t>privind identificarea, evaluarea și gestionarea condițiilor de risc fiscal</w:t>
      </w:r>
    </w:p>
    <w:p w14:paraId="317662F3" w14:textId="77777777" w:rsidR="005B1754" w:rsidRDefault="005B1754">
      <w:pPr>
        <w:pStyle w:val="Heading2"/>
        <w:rPr>
          <w:rStyle w:val="Strong"/>
          <w:bCs w:val="0"/>
        </w:rPr>
      </w:pPr>
    </w:p>
    <w:p w14:paraId="25BED3B4" w14:textId="77777777" w:rsidR="005B1754" w:rsidRDefault="00AF1154">
      <w:pPr>
        <w:pStyle w:val="Heading2"/>
      </w:pPr>
      <w:r>
        <w:rPr>
          <w:rStyle w:val="Strong"/>
          <w:bCs w:val="0"/>
        </w:rPr>
        <w:t>ANTET</w:t>
      </w:r>
    </w:p>
    <w:p w14:paraId="24CC688C" w14:textId="77777777" w:rsidR="005B1754" w:rsidRDefault="00AF1154">
      <w:pPr>
        <w:pStyle w:val="NormalWeb"/>
      </w:pPr>
      <w:r>
        <w:rPr>
          <w:rStyle w:val="Strong"/>
        </w:rPr>
        <w:t>Denumirea societății:</w:t>
      </w:r>
      <w:r>
        <w:t xml:space="preserve"> ........................................................</w:t>
      </w:r>
      <w:r>
        <w:br/>
      </w:r>
      <w:r>
        <w:rPr>
          <w:rStyle w:val="Strong"/>
        </w:rPr>
        <w:t>Forma juridică:</w:t>
      </w:r>
      <w:r>
        <w:t xml:space="preserve"> SRL / SA</w:t>
      </w:r>
      <w:r>
        <w:br/>
      </w:r>
      <w:r>
        <w:rPr>
          <w:rStyle w:val="Strong"/>
        </w:rPr>
        <w:t>Sediul social: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CUI:</w:t>
      </w:r>
      <w:r>
        <w:t xml:space="preserve"> ...............................................................</w:t>
      </w:r>
    </w:p>
    <w:p w14:paraId="50D399A0" w14:textId="0DFA6B4B" w:rsidR="005B1754" w:rsidRDefault="00AF1154">
      <w:pPr>
        <w:pStyle w:val="NormalWeb"/>
      </w:pPr>
      <w:r>
        <w:rPr>
          <w:rStyle w:val="Strong"/>
        </w:rPr>
        <w:t>Nr. procedură:</w:t>
      </w:r>
      <w:r>
        <w:br/>
      </w:r>
      <w:r>
        <w:rPr>
          <w:rStyle w:val="Strong"/>
        </w:rPr>
        <w:t>Data intrării în vigoare:</w:t>
      </w:r>
      <w:r>
        <w:t xml:space="preserve"> ..................................................</w:t>
      </w:r>
    </w:p>
    <w:p w14:paraId="60B97600" w14:textId="77777777" w:rsidR="005B1754" w:rsidRDefault="00AF1154">
      <w:pPr>
        <w:pStyle w:val="NormalWeb"/>
      </w:pPr>
      <w:r>
        <w:rPr>
          <w:rStyle w:val="Strong"/>
        </w:rPr>
        <w:t>Întocmit de: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...............................................................</w:t>
      </w:r>
    </w:p>
    <w:p w14:paraId="45F0C6E6" w14:textId="77777777" w:rsidR="005B1754" w:rsidRDefault="00AF1154">
      <w:pPr>
        <w:pStyle w:val="NormalWeb"/>
      </w:pPr>
      <w:r>
        <w:rPr>
          <w:rStyle w:val="Strong"/>
        </w:rPr>
        <w:t>Verificat de: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...............................................................</w:t>
      </w:r>
    </w:p>
    <w:p w14:paraId="410B4AC8" w14:textId="77777777" w:rsidR="005B1754" w:rsidRDefault="00AF1154">
      <w:pPr>
        <w:pStyle w:val="NormalWeb"/>
      </w:pPr>
      <w:r>
        <w:rPr>
          <w:rStyle w:val="Strong"/>
        </w:rPr>
        <w:t>Aprobat de Administrator / Director General:</w:t>
      </w:r>
      <w:r>
        <w:t xml:space="preserve"> ...............................</w:t>
      </w:r>
      <w:r>
        <w:br/>
      </w:r>
      <w:r>
        <w:rPr>
          <w:rStyle w:val="Strong"/>
        </w:rPr>
        <w:t>Semnătură:</w:t>
      </w:r>
      <w:r>
        <w:t xml:space="preserve"> ...............................................................</w:t>
      </w:r>
    </w:p>
    <w:p w14:paraId="6940C3B4" w14:textId="77777777" w:rsidR="005B1754" w:rsidRDefault="005B1754">
      <w:pPr>
        <w:pStyle w:val="Heading2"/>
        <w:rPr>
          <w:rStyle w:val="Strong"/>
          <w:bCs w:val="0"/>
        </w:rPr>
      </w:pPr>
    </w:p>
    <w:p w14:paraId="74A0C38D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>1. Scopul procedurii</w:t>
      </w:r>
    </w:p>
    <w:p w14:paraId="567AFF64" w14:textId="77777777" w:rsidR="005B1754" w:rsidRDefault="00AF1154">
      <w:pPr>
        <w:pStyle w:val="NormalWeb"/>
      </w:pPr>
      <w:r>
        <w:t xml:space="preserve">Prezenta procedură stabilește cadrul intern prin care societatea identifică, evaluează, monitorizează și gestionează </w:t>
      </w:r>
      <w:r>
        <w:rPr>
          <w:rStyle w:val="Strong"/>
        </w:rPr>
        <w:t>condițiile de risc fiscal</w:t>
      </w:r>
      <w:r>
        <w:t>, astfel cum acestea sunt avute în vedere de autoritățile fiscale în anul 2026, în scopul:</w:t>
      </w:r>
    </w:p>
    <w:p w14:paraId="47A4933E" w14:textId="77777777" w:rsidR="005B1754" w:rsidRDefault="00AF1154">
      <w:pPr>
        <w:pStyle w:val="NormalWeb"/>
        <w:numPr>
          <w:ilvl w:val="0"/>
          <w:numId w:val="19"/>
        </w:numPr>
      </w:pPr>
      <w:r>
        <w:t>prevenirii includerii societății în categoria contribuabililor cu risc fiscal ridicat;</w:t>
      </w:r>
    </w:p>
    <w:p w14:paraId="0FB18B4A" w14:textId="77777777" w:rsidR="005B1754" w:rsidRDefault="00AF1154">
      <w:pPr>
        <w:pStyle w:val="NormalWeb"/>
        <w:numPr>
          <w:ilvl w:val="0"/>
          <w:numId w:val="19"/>
        </w:numPr>
      </w:pPr>
      <w:r>
        <w:t>reducerii probabilității de controale fiscale extinse;</w:t>
      </w:r>
    </w:p>
    <w:p w14:paraId="29396097" w14:textId="77777777" w:rsidR="005B1754" w:rsidRDefault="00AF1154">
      <w:pPr>
        <w:pStyle w:val="NormalWeb"/>
        <w:numPr>
          <w:ilvl w:val="0"/>
          <w:numId w:val="19"/>
        </w:numPr>
      </w:pPr>
      <w:r>
        <w:t>limitării impactului financiar al ajustărilor fiscale;</w:t>
      </w:r>
    </w:p>
    <w:p w14:paraId="193B3801" w14:textId="77777777" w:rsidR="005B1754" w:rsidRDefault="00AF1154">
      <w:pPr>
        <w:pStyle w:val="NormalWeb"/>
        <w:numPr>
          <w:ilvl w:val="0"/>
          <w:numId w:val="19"/>
        </w:numPr>
      </w:pPr>
      <w:r>
        <w:t>protejării administratorului împotriva riscurilor de răspundere fiscală și patrimonială.</w:t>
      </w:r>
    </w:p>
    <w:p w14:paraId="0FE04C38" w14:textId="77777777" w:rsidR="005B1754" w:rsidRDefault="00AF1154">
      <w:pPr>
        <w:pStyle w:val="NormalWeb"/>
      </w:pPr>
      <w:r>
        <w:t xml:space="preserve">Procedura are caracter </w:t>
      </w:r>
      <w:r>
        <w:rPr>
          <w:rStyle w:val="Strong"/>
        </w:rPr>
        <w:t>preventiv, defensiv și strategic</w:t>
      </w:r>
      <w:r>
        <w:t>.</w:t>
      </w:r>
    </w:p>
    <w:p w14:paraId="2AD8A942" w14:textId="77777777" w:rsidR="005B1754" w:rsidRDefault="005B1754">
      <w:pPr>
        <w:pStyle w:val="Heading2"/>
        <w:rPr>
          <w:rStyle w:val="Strong"/>
          <w:bCs w:val="0"/>
        </w:rPr>
      </w:pPr>
    </w:p>
    <w:p w14:paraId="54E20332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>2. Domeniul de aplicare</w:t>
      </w:r>
    </w:p>
    <w:p w14:paraId="7DA1742B" w14:textId="77777777" w:rsidR="005B1754" w:rsidRDefault="00AF1154">
      <w:pPr>
        <w:pStyle w:val="NormalWeb"/>
      </w:pPr>
      <w:r>
        <w:t>Procedura se aplică:</w:t>
      </w:r>
    </w:p>
    <w:p w14:paraId="35F2A21D" w14:textId="77777777" w:rsidR="005B1754" w:rsidRDefault="00AF1154">
      <w:pPr>
        <w:pStyle w:val="NormalWeb"/>
        <w:numPr>
          <w:ilvl w:val="0"/>
          <w:numId w:val="11"/>
        </w:numPr>
      </w:pPr>
      <w:r>
        <w:lastRenderedPageBreak/>
        <w:t>tuturor activităților cu impact fiscal ale societății;</w:t>
      </w:r>
    </w:p>
    <w:p w14:paraId="3841FC31" w14:textId="77777777" w:rsidR="005B1754" w:rsidRDefault="00AF1154">
      <w:pPr>
        <w:pStyle w:val="NormalWeb"/>
        <w:numPr>
          <w:ilvl w:val="0"/>
          <w:numId w:val="11"/>
        </w:numPr>
      </w:pPr>
      <w:r>
        <w:t>administratorului;</w:t>
      </w:r>
    </w:p>
    <w:p w14:paraId="5674AC7B" w14:textId="77777777" w:rsidR="005B1754" w:rsidRDefault="00AF1154">
      <w:pPr>
        <w:pStyle w:val="NormalWeb"/>
        <w:numPr>
          <w:ilvl w:val="0"/>
          <w:numId w:val="11"/>
        </w:numPr>
      </w:pPr>
      <w:r>
        <w:t>departamentului financiar–contabil;</w:t>
      </w:r>
    </w:p>
    <w:p w14:paraId="5509CBDD" w14:textId="77777777" w:rsidR="005B1754" w:rsidRDefault="00AF1154">
      <w:pPr>
        <w:pStyle w:val="NormalWeb"/>
        <w:numPr>
          <w:ilvl w:val="0"/>
          <w:numId w:val="11"/>
        </w:numPr>
      </w:pPr>
      <w:r>
        <w:t xml:space="preserve">persoanelor împuternicite (contabil, consultant </w:t>
      </w:r>
      <w:r>
        <w:t>fiscal);</w:t>
      </w:r>
    </w:p>
    <w:p w14:paraId="73DECDAD" w14:textId="77777777" w:rsidR="005B1754" w:rsidRDefault="00AF1154">
      <w:pPr>
        <w:pStyle w:val="NormalWeb"/>
        <w:numPr>
          <w:ilvl w:val="0"/>
          <w:numId w:val="11"/>
        </w:numPr>
      </w:pPr>
      <w:r>
        <w:t>tuturor proceselor analizate de ANAF din perspectiva riscului fiscal.</w:t>
      </w:r>
    </w:p>
    <w:p w14:paraId="4585515F" w14:textId="77777777" w:rsidR="005B1754" w:rsidRDefault="005B1754">
      <w:pPr>
        <w:pStyle w:val="Heading2"/>
        <w:rPr>
          <w:rStyle w:val="Strong"/>
          <w:bCs w:val="0"/>
        </w:rPr>
      </w:pPr>
    </w:p>
    <w:p w14:paraId="268F762A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>3. Baza legală și contextuală (2026)</w:t>
      </w:r>
    </w:p>
    <w:p w14:paraId="68B4FC20" w14:textId="77777777" w:rsidR="005B1754" w:rsidRDefault="00AF1154">
      <w:pPr>
        <w:pStyle w:val="NormalWeb"/>
      </w:pPr>
      <w:r>
        <w:t>Procedura este fundamentată pe:</w:t>
      </w:r>
    </w:p>
    <w:p w14:paraId="023953C9" w14:textId="77777777" w:rsidR="005B1754" w:rsidRDefault="00AF1154">
      <w:pPr>
        <w:pStyle w:val="NormalWeb"/>
        <w:numPr>
          <w:ilvl w:val="0"/>
          <w:numId w:val="10"/>
        </w:numPr>
      </w:pPr>
      <w:r>
        <w:t>Codul fiscal;</w:t>
      </w:r>
    </w:p>
    <w:p w14:paraId="6C4FF8AB" w14:textId="77777777" w:rsidR="005B1754" w:rsidRDefault="00AF1154">
      <w:pPr>
        <w:pStyle w:val="NormalWeb"/>
        <w:numPr>
          <w:ilvl w:val="0"/>
          <w:numId w:val="10"/>
        </w:numPr>
      </w:pPr>
      <w:r>
        <w:t>Codul de procedură fiscală;</w:t>
      </w:r>
    </w:p>
    <w:p w14:paraId="5303B03C" w14:textId="77777777" w:rsidR="005B1754" w:rsidRDefault="00AF1154">
      <w:pPr>
        <w:pStyle w:val="NormalWeb"/>
        <w:numPr>
          <w:ilvl w:val="0"/>
          <w:numId w:val="10"/>
        </w:numPr>
      </w:pPr>
      <w:r>
        <w:t>ordinele și instrucțiunile ANAF privind analiza de risc fiscal;</w:t>
      </w:r>
    </w:p>
    <w:p w14:paraId="4F8CBECB" w14:textId="77777777" w:rsidR="005B1754" w:rsidRDefault="00AF1154">
      <w:pPr>
        <w:pStyle w:val="NormalWeb"/>
        <w:numPr>
          <w:ilvl w:val="0"/>
          <w:numId w:val="10"/>
        </w:numPr>
      </w:pPr>
      <w:r>
        <w:t>practicile curente ANAF privind selectarea contribuabililor la control;</w:t>
      </w:r>
    </w:p>
    <w:p w14:paraId="65805925" w14:textId="77777777" w:rsidR="005B1754" w:rsidRDefault="00AF1154">
      <w:pPr>
        <w:pStyle w:val="NormalWeb"/>
        <w:numPr>
          <w:ilvl w:val="0"/>
          <w:numId w:val="10"/>
        </w:numPr>
      </w:pPr>
      <w:r>
        <w:t>intensificarea utilizării analizelor digitale (e-Factura, SAF-T, corelări automate);</w:t>
      </w:r>
    </w:p>
    <w:p w14:paraId="07E8D3C3" w14:textId="77777777" w:rsidR="005B1754" w:rsidRDefault="00AF1154">
      <w:pPr>
        <w:pStyle w:val="NormalWeb"/>
        <w:numPr>
          <w:ilvl w:val="0"/>
          <w:numId w:val="10"/>
        </w:numPr>
      </w:pPr>
      <w:r>
        <w:t xml:space="preserve">principiul </w:t>
      </w:r>
      <w:r>
        <w:rPr>
          <w:rStyle w:val="Strong"/>
        </w:rPr>
        <w:t>compliance by design</w:t>
      </w:r>
      <w:r>
        <w:t xml:space="preserve"> promovat în 2026.</w:t>
      </w:r>
    </w:p>
    <w:p w14:paraId="0A1081DC" w14:textId="5AF2C53B" w:rsidR="005B1754" w:rsidRPr="00AF1154" w:rsidRDefault="00AF1154">
      <w:pPr>
        <w:pStyle w:val="NormalWeb"/>
        <w:rPr>
          <w:i/>
          <w:iCs/>
        </w:rPr>
      </w:pPr>
      <w:r w:rsidRPr="00AF1154">
        <w:rPr>
          <w:rStyle w:val="Strong"/>
          <w:i/>
          <w:iCs/>
        </w:rPr>
        <w:t>Important:</w:t>
      </w:r>
      <w:r w:rsidRPr="00AF1154">
        <w:rPr>
          <w:i/>
          <w:iCs/>
        </w:rPr>
        <w:br/>
        <w:t xml:space="preserve">În 2026, ANAF utilizează preponderent </w:t>
      </w:r>
      <w:r w:rsidRPr="00AF1154">
        <w:rPr>
          <w:rStyle w:val="Strong"/>
          <w:i/>
          <w:iCs/>
        </w:rPr>
        <w:t>indicatori de risc automatizați</w:t>
      </w:r>
      <w:r w:rsidRPr="00AF1154">
        <w:rPr>
          <w:i/>
          <w:iCs/>
        </w:rPr>
        <w:t>, nu doar sesizări punctuale.</w:t>
      </w:r>
    </w:p>
    <w:p w14:paraId="36529A3B" w14:textId="77777777" w:rsidR="005B1754" w:rsidRDefault="005B1754">
      <w:pPr>
        <w:pStyle w:val="Heading2"/>
        <w:rPr>
          <w:rStyle w:val="Strong"/>
          <w:bCs w:val="0"/>
        </w:rPr>
      </w:pPr>
    </w:p>
    <w:p w14:paraId="19F3A3F3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>4. Definiții</w:t>
      </w:r>
    </w:p>
    <w:p w14:paraId="32E564F0" w14:textId="77777777" w:rsidR="005B1754" w:rsidRDefault="00AF1154">
      <w:pPr>
        <w:pStyle w:val="NormalWeb"/>
        <w:numPr>
          <w:ilvl w:val="0"/>
          <w:numId w:val="3"/>
        </w:numPr>
      </w:pPr>
      <w:r>
        <w:rPr>
          <w:rStyle w:val="Strong"/>
        </w:rPr>
        <w:t>Risc fiscal</w:t>
      </w:r>
      <w:r>
        <w:t xml:space="preserve"> – probabilitatea ca situația fiscală a societății să genereze ajustări, sancțiuni sau controale;</w:t>
      </w:r>
    </w:p>
    <w:p w14:paraId="255E25DA" w14:textId="77777777" w:rsidR="005B1754" w:rsidRDefault="00AF1154">
      <w:pPr>
        <w:pStyle w:val="NormalWeb"/>
        <w:numPr>
          <w:ilvl w:val="0"/>
          <w:numId w:val="3"/>
        </w:numPr>
      </w:pPr>
      <w:r>
        <w:rPr>
          <w:rStyle w:val="Strong"/>
        </w:rPr>
        <w:t>Indicator de risc</w:t>
      </w:r>
      <w:r>
        <w:t xml:space="preserve"> – element cuantificabil utilizat de ANAF;</w:t>
      </w:r>
    </w:p>
    <w:p w14:paraId="27DEEDCB" w14:textId="77777777" w:rsidR="005B1754" w:rsidRDefault="00AF1154">
      <w:pPr>
        <w:pStyle w:val="NormalWeb"/>
        <w:numPr>
          <w:ilvl w:val="0"/>
          <w:numId w:val="3"/>
        </w:numPr>
      </w:pPr>
      <w:r>
        <w:rPr>
          <w:rStyle w:val="Strong"/>
        </w:rPr>
        <w:t>Profil de risc fiscal</w:t>
      </w:r>
      <w:r>
        <w:t xml:space="preserve"> – evaluarea cumulativă a comportamentului fiscal;</w:t>
      </w:r>
    </w:p>
    <w:p w14:paraId="2E55572B" w14:textId="77777777" w:rsidR="005B1754" w:rsidRDefault="00AF1154">
      <w:pPr>
        <w:pStyle w:val="NormalWeb"/>
        <w:numPr>
          <w:ilvl w:val="0"/>
          <w:numId w:val="3"/>
        </w:numPr>
      </w:pPr>
      <w:r>
        <w:rPr>
          <w:rStyle w:val="Strong"/>
        </w:rPr>
        <w:t>Control preventiv</w:t>
      </w:r>
      <w:r>
        <w:t xml:space="preserve"> – măsură internă de reducere a riscului.</w:t>
      </w:r>
    </w:p>
    <w:p w14:paraId="1AFDDEF8" w14:textId="77777777" w:rsidR="005B1754" w:rsidRDefault="005B1754">
      <w:pPr>
        <w:pStyle w:val="Heading2"/>
        <w:rPr>
          <w:rStyle w:val="Strong"/>
          <w:bCs w:val="0"/>
        </w:rPr>
      </w:pPr>
    </w:p>
    <w:p w14:paraId="185F9B79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>5. Principii generale</w:t>
      </w:r>
    </w:p>
    <w:p w14:paraId="26DC4075" w14:textId="77777777" w:rsidR="005B1754" w:rsidRDefault="00AF1154">
      <w:pPr>
        <w:pStyle w:val="NormalWeb"/>
      </w:pPr>
      <w:r>
        <w:t>Gestionarea riscului fiscal se bazează pe:</w:t>
      </w:r>
    </w:p>
    <w:p w14:paraId="6AA197A0" w14:textId="77777777" w:rsidR="005B1754" w:rsidRDefault="00AF1154">
      <w:pPr>
        <w:pStyle w:val="NormalWeb"/>
        <w:numPr>
          <w:ilvl w:val="0"/>
          <w:numId w:val="21"/>
        </w:numPr>
      </w:pPr>
      <w:r>
        <w:t>prevenție, nu reacție;</w:t>
      </w:r>
    </w:p>
    <w:p w14:paraId="5442CE22" w14:textId="77777777" w:rsidR="005B1754" w:rsidRDefault="00AF1154">
      <w:pPr>
        <w:pStyle w:val="NormalWeb"/>
        <w:numPr>
          <w:ilvl w:val="0"/>
          <w:numId w:val="21"/>
        </w:numPr>
      </w:pPr>
      <w:r>
        <w:t>documentare completă;</w:t>
      </w:r>
    </w:p>
    <w:p w14:paraId="21EAD59B" w14:textId="77777777" w:rsidR="005B1754" w:rsidRDefault="00AF1154">
      <w:pPr>
        <w:pStyle w:val="NormalWeb"/>
        <w:numPr>
          <w:ilvl w:val="0"/>
          <w:numId w:val="21"/>
        </w:numPr>
      </w:pPr>
      <w:r>
        <w:t>coerență fiscală;</w:t>
      </w:r>
    </w:p>
    <w:p w14:paraId="49115A53" w14:textId="77777777" w:rsidR="005B1754" w:rsidRDefault="00AF1154">
      <w:pPr>
        <w:pStyle w:val="NormalWeb"/>
        <w:numPr>
          <w:ilvl w:val="0"/>
          <w:numId w:val="21"/>
        </w:numPr>
      </w:pPr>
      <w:r>
        <w:t>transparență și trasabilitate;</w:t>
      </w:r>
    </w:p>
    <w:p w14:paraId="39C2F2C7" w14:textId="77777777" w:rsidR="005B1754" w:rsidRDefault="00AF1154">
      <w:pPr>
        <w:pStyle w:val="NormalWeb"/>
        <w:numPr>
          <w:ilvl w:val="0"/>
          <w:numId w:val="21"/>
        </w:numPr>
      </w:pPr>
      <w:r>
        <w:t>asumare managerială.</w:t>
      </w:r>
    </w:p>
    <w:p w14:paraId="06E880DB" w14:textId="77777777" w:rsidR="005B1754" w:rsidRPr="00AF1154" w:rsidRDefault="00AF1154">
      <w:pPr>
        <w:pStyle w:val="NormalWeb"/>
        <w:rPr>
          <w:i/>
          <w:iCs/>
        </w:rPr>
      </w:pPr>
      <w:r w:rsidRPr="00AF1154">
        <w:rPr>
          <w:rStyle w:val="Strong"/>
          <w:i/>
          <w:iCs/>
        </w:rPr>
        <w:lastRenderedPageBreak/>
        <w:t>Atenționare majoră:</w:t>
      </w:r>
      <w:r w:rsidRPr="00AF1154">
        <w:rPr>
          <w:i/>
          <w:iCs/>
        </w:rPr>
        <w:br/>
        <w:t xml:space="preserve">Lipsa unei abordări documentate a riscului fiscal este, în sine, un </w:t>
      </w:r>
      <w:r w:rsidRPr="00AF1154">
        <w:rPr>
          <w:rStyle w:val="Strong"/>
          <w:i/>
          <w:iCs/>
        </w:rPr>
        <w:t>indicator de risc</w:t>
      </w:r>
      <w:r w:rsidRPr="00AF1154">
        <w:rPr>
          <w:i/>
          <w:iCs/>
        </w:rPr>
        <w:t>.</w:t>
      </w:r>
    </w:p>
    <w:p w14:paraId="20A40CC1" w14:textId="77777777" w:rsidR="005B1754" w:rsidRDefault="005B1754">
      <w:pPr>
        <w:pStyle w:val="Heading2"/>
        <w:rPr>
          <w:rStyle w:val="Strong"/>
          <w:bCs w:val="0"/>
        </w:rPr>
      </w:pPr>
    </w:p>
    <w:p w14:paraId="508A0E9F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>6. Noile condiții de risc fiscal avute în vedere în 2026</w:t>
      </w:r>
    </w:p>
    <w:p w14:paraId="5B5FC0AD" w14:textId="77777777" w:rsidR="005B1754" w:rsidRDefault="00AF1154">
      <w:pPr>
        <w:pStyle w:val="Heading3"/>
      </w:pPr>
      <w:r>
        <w:rPr>
          <w:rStyle w:val="Strong"/>
          <w:bCs w:val="0"/>
        </w:rPr>
        <w:t xml:space="preserve">6.1 Risc fiscal asociat </w:t>
      </w:r>
      <w:r>
        <w:rPr>
          <w:rStyle w:val="Strong"/>
          <w:bCs w:val="0"/>
        </w:rPr>
        <w:t>raportărilor electronice</w:t>
      </w:r>
    </w:p>
    <w:p w14:paraId="036FA1AA" w14:textId="77777777" w:rsidR="005B1754" w:rsidRDefault="00AF1154">
      <w:pPr>
        <w:pStyle w:val="NormalWeb"/>
      </w:pPr>
      <w:r>
        <w:t>Societatea este expusă unui risc ridicat dacă:</w:t>
      </w:r>
    </w:p>
    <w:p w14:paraId="6C99B10D" w14:textId="77777777" w:rsidR="005B1754" w:rsidRDefault="00AF1154">
      <w:pPr>
        <w:pStyle w:val="NormalWeb"/>
        <w:numPr>
          <w:ilvl w:val="0"/>
          <w:numId w:val="15"/>
        </w:numPr>
      </w:pPr>
      <w:r>
        <w:t>există neconcordanțe între e-Factura, TVA declarat și contabilitate;</w:t>
      </w:r>
    </w:p>
    <w:p w14:paraId="5F2A25B3" w14:textId="77777777" w:rsidR="005B1754" w:rsidRDefault="00AF1154">
      <w:pPr>
        <w:pStyle w:val="NormalWeb"/>
        <w:numPr>
          <w:ilvl w:val="0"/>
          <w:numId w:val="15"/>
        </w:numPr>
      </w:pPr>
      <w:r>
        <w:t>facturile sunt raportate cu întârziere;</w:t>
      </w:r>
    </w:p>
    <w:p w14:paraId="6EF5261B" w14:textId="77777777" w:rsidR="005B1754" w:rsidRDefault="00AF1154">
      <w:pPr>
        <w:pStyle w:val="NormalWeb"/>
        <w:numPr>
          <w:ilvl w:val="0"/>
          <w:numId w:val="15"/>
        </w:numPr>
      </w:pPr>
      <w:r>
        <w:t>există corecții frecvente sau anulate repetate.</w:t>
      </w:r>
    </w:p>
    <w:p w14:paraId="4DC3D118" w14:textId="2E854FFC" w:rsidR="005B1754" w:rsidRDefault="00AF1154">
      <w:pPr>
        <w:pStyle w:val="NormalWeb"/>
      </w:pPr>
      <w:r>
        <w:rPr>
          <w:rStyle w:val="Strong"/>
        </w:rPr>
        <w:t>Exemplu practic:</w:t>
      </w:r>
      <w:r>
        <w:br/>
        <w:t>TVA deductibil din facturi care apar în e-Factura, dar nu se regăsesc coerent în jurnalul de cumpărări.</w:t>
      </w:r>
    </w:p>
    <w:p w14:paraId="6C396626" w14:textId="77777777" w:rsidR="005B1754" w:rsidRDefault="005B1754">
      <w:pPr>
        <w:pStyle w:val="Heading3"/>
        <w:rPr>
          <w:rStyle w:val="Strong"/>
          <w:bCs w:val="0"/>
        </w:rPr>
      </w:pPr>
    </w:p>
    <w:p w14:paraId="7110B73D" w14:textId="77777777" w:rsidR="005B1754" w:rsidRDefault="00AF1154">
      <w:pPr>
        <w:pStyle w:val="Heading3"/>
      </w:pPr>
      <w:r>
        <w:rPr>
          <w:rStyle w:val="Strong"/>
          <w:bCs w:val="0"/>
        </w:rPr>
        <w:t>6.2 Risc fiscal asociat comportamentului declarativ</w:t>
      </w:r>
    </w:p>
    <w:p w14:paraId="29528DAE" w14:textId="77777777" w:rsidR="005B1754" w:rsidRDefault="00AF1154">
      <w:pPr>
        <w:pStyle w:val="NormalWeb"/>
      </w:pPr>
      <w:r>
        <w:t>Indicatori de risc:</w:t>
      </w:r>
    </w:p>
    <w:p w14:paraId="5F12230D" w14:textId="77777777" w:rsidR="005B1754" w:rsidRDefault="00AF1154">
      <w:pPr>
        <w:pStyle w:val="NormalWeb"/>
        <w:numPr>
          <w:ilvl w:val="0"/>
          <w:numId w:val="17"/>
        </w:numPr>
      </w:pPr>
      <w:r>
        <w:t>depuneri tardive sau repetat rectificative;</w:t>
      </w:r>
    </w:p>
    <w:p w14:paraId="55D79791" w14:textId="77777777" w:rsidR="005B1754" w:rsidRDefault="00AF1154">
      <w:pPr>
        <w:pStyle w:val="NormalWeb"/>
        <w:numPr>
          <w:ilvl w:val="0"/>
          <w:numId w:val="17"/>
        </w:numPr>
      </w:pPr>
      <w:r>
        <w:t>declarații zero nejustificate;</w:t>
      </w:r>
    </w:p>
    <w:p w14:paraId="4ADE7A74" w14:textId="77777777" w:rsidR="005B1754" w:rsidRDefault="00AF1154">
      <w:pPr>
        <w:pStyle w:val="NormalWeb"/>
        <w:numPr>
          <w:ilvl w:val="0"/>
          <w:numId w:val="17"/>
        </w:numPr>
      </w:pPr>
      <w:r>
        <w:t>modificări frecvente ale vectorului fiscal.</w:t>
      </w:r>
    </w:p>
    <w:p w14:paraId="540C99BE" w14:textId="77777777" w:rsidR="005B1754" w:rsidRDefault="00AF1154">
      <w:pPr>
        <w:pStyle w:val="NormalWeb"/>
        <w:rPr>
          <w:i/>
        </w:rPr>
      </w:pPr>
      <w:r>
        <w:rPr>
          <w:i/>
        </w:rPr>
        <w:t>Rectificările repetate cresc scorul de risc, chiar dacă sunt corecte tehnic.</w:t>
      </w:r>
    </w:p>
    <w:p w14:paraId="0272F38E" w14:textId="77777777" w:rsidR="005B1754" w:rsidRDefault="005B1754">
      <w:pPr>
        <w:pStyle w:val="Heading3"/>
        <w:rPr>
          <w:rStyle w:val="Strong"/>
          <w:bCs w:val="0"/>
        </w:rPr>
      </w:pPr>
    </w:p>
    <w:p w14:paraId="0EF646C9" w14:textId="77777777" w:rsidR="005B1754" w:rsidRDefault="00AF1154">
      <w:pPr>
        <w:pStyle w:val="Heading3"/>
      </w:pPr>
      <w:r>
        <w:rPr>
          <w:rStyle w:val="Strong"/>
          <w:bCs w:val="0"/>
        </w:rPr>
        <w:t>6.3 Risc fiscal asociat cheltuielilor</w:t>
      </w:r>
    </w:p>
    <w:p w14:paraId="19064958" w14:textId="77777777" w:rsidR="005B1754" w:rsidRDefault="00AF1154">
      <w:pPr>
        <w:pStyle w:val="NormalWeb"/>
      </w:pPr>
      <w:r>
        <w:t>Sunt considerate zone cu risc:</w:t>
      </w:r>
    </w:p>
    <w:p w14:paraId="2138618E" w14:textId="77777777" w:rsidR="005B1754" w:rsidRDefault="00AF1154">
      <w:pPr>
        <w:pStyle w:val="NormalWeb"/>
        <w:numPr>
          <w:ilvl w:val="0"/>
          <w:numId w:val="5"/>
        </w:numPr>
      </w:pPr>
      <w:r>
        <w:t>cheltuieli fără legătură cu activitatea;</w:t>
      </w:r>
    </w:p>
    <w:p w14:paraId="0B033AFD" w14:textId="77777777" w:rsidR="005B1754" w:rsidRDefault="00AF1154">
      <w:pPr>
        <w:pStyle w:val="NormalWeb"/>
        <w:numPr>
          <w:ilvl w:val="0"/>
          <w:numId w:val="5"/>
        </w:numPr>
      </w:pPr>
      <w:r>
        <w:t xml:space="preserve">cheltuieli de protocol </w:t>
      </w:r>
      <w:r>
        <w:t>nejustificate;</w:t>
      </w:r>
    </w:p>
    <w:p w14:paraId="15FAAA72" w14:textId="77777777" w:rsidR="005B1754" w:rsidRDefault="00AF1154">
      <w:pPr>
        <w:pStyle w:val="NormalWeb"/>
        <w:numPr>
          <w:ilvl w:val="0"/>
          <w:numId w:val="5"/>
        </w:numPr>
      </w:pPr>
      <w:r>
        <w:t>servicii externe fără documente clare;</w:t>
      </w:r>
    </w:p>
    <w:p w14:paraId="4C69832C" w14:textId="77777777" w:rsidR="005B1754" w:rsidRDefault="00AF1154">
      <w:pPr>
        <w:pStyle w:val="NormalWeb"/>
        <w:numPr>
          <w:ilvl w:val="0"/>
          <w:numId w:val="5"/>
        </w:numPr>
      </w:pPr>
      <w:r>
        <w:t>cheltuieli recurente cu furnizori „sensibili”.</w:t>
      </w:r>
    </w:p>
    <w:p w14:paraId="06DA0BD3" w14:textId="77777777" w:rsidR="005B1754" w:rsidRDefault="005B1754">
      <w:pPr>
        <w:pStyle w:val="Heading3"/>
        <w:rPr>
          <w:rStyle w:val="Strong"/>
          <w:bCs w:val="0"/>
        </w:rPr>
      </w:pPr>
    </w:p>
    <w:p w14:paraId="76045326" w14:textId="77777777" w:rsidR="005B1754" w:rsidRDefault="00AF1154">
      <w:pPr>
        <w:pStyle w:val="Heading3"/>
      </w:pPr>
      <w:r>
        <w:rPr>
          <w:rStyle w:val="Strong"/>
          <w:bCs w:val="0"/>
        </w:rPr>
        <w:t>6.4 Risc fiscal asociat TVA</w:t>
      </w:r>
    </w:p>
    <w:p w14:paraId="1EF6CD2C" w14:textId="77777777" w:rsidR="005B1754" w:rsidRDefault="00AF1154">
      <w:pPr>
        <w:pStyle w:val="NormalWeb"/>
      </w:pPr>
      <w:r>
        <w:t>Risc ridicat apare în situații precum:</w:t>
      </w:r>
    </w:p>
    <w:p w14:paraId="7D29C7E7" w14:textId="77777777" w:rsidR="005B1754" w:rsidRDefault="00AF1154">
      <w:pPr>
        <w:pStyle w:val="NormalWeb"/>
        <w:numPr>
          <w:ilvl w:val="0"/>
          <w:numId w:val="22"/>
        </w:numPr>
      </w:pPr>
      <w:r>
        <w:t>TVA de rambursat constant;</w:t>
      </w:r>
    </w:p>
    <w:p w14:paraId="46E6EE97" w14:textId="77777777" w:rsidR="005B1754" w:rsidRDefault="00AF1154">
      <w:pPr>
        <w:pStyle w:val="NormalWeb"/>
        <w:numPr>
          <w:ilvl w:val="0"/>
          <w:numId w:val="22"/>
        </w:numPr>
      </w:pPr>
      <w:r>
        <w:t>diferențe între TVA colectat și TVA raportat;</w:t>
      </w:r>
    </w:p>
    <w:p w14:paraId="245BF27F" w14:textId="77777777" w:rsidR="005B1754" w:rsidRDefault="00AF1154">
      <w:pPr>
        <w:pStyle w:val="NormalWeb"/>
        <w:numPr>
          <w:ilvl w:val="0"/>
          <w:numId w:val="22"/>
        </w:numPr>
      </w:pPr>
      <w:r>
        <w:lastRenderedPageBreak/>
        <w:t>operațiuni cu parteneri cu risc fiscal.</w:t>
      </w:r>
    </w:p>
    <w:p w14:paraId="7672AB3B" w14:textId="77777777" w:rsidR="005B1754" w:rsidRDefault="005B1754">
      <w:pPr>
        <w:pStyle w:val="Heading3"/>
        <w:rPr>
          <w:rStyle w:val="Strong"/>
          <w:bCs w:val="0"/>
        </w:rPr>
      </w:pPr>
    </w:p>
    <w:p w14:paraId="281FE002" w14:textId="77777777" w:rsidR="005B1754" w:rsidRDefault="00AF1154">
      <w:pPr>
        <w:pStyle w:val="Heading3"/>
      </w:pPr>
      <w:r>
        <w:rPr>
          <w:rStyle w:val="Strong"/>
          <w:bCs w:val="0"/>
        </w:rPr>
        <w:t>6.5 Risc fiscal asociat salarizării</w:t>
      </w:r>
    </w:p>
    <w:p w14:paraId="69E18404" w14:textId="77777777" w:rsidR="005B1754" w:rsidRDefault="00AF1154">
      <w:pPr>
        <w:pStyle w:val="NormalWeb"/>
      </w:pPr>
      <w:r>
        <w:t>Indicatori de risc:</w:t>
      </w:r>
    </w:p>
    <w:p w14:paraId="0B927EC0" w14:textId="77777777" w:rsidR="005B1754" w:rsidRDefault="00AF1154">
      <w:pPr>
        <w:pStyle w:val="NormalWeb"/>
        <w:numPr>
          <w:ilvl w:val="0"/>
          <w:numId w:val="18"/>
        </w:numPr>
      </w:pPr>
      <w:r>
        <w:t>fluctuații nejustificate ale fondului de salarii;</w:t>
      </w:r>
    </w:p>
    <w:p w14:paraId="0E153171" w14:textId="77777777" w:rsidR="005B1754" w:rsidRDefault="00AF1154">
      <w:pPr>
        <w:pStyle w:val="NormalWeb"/>
        <w:numPr>
          <w:ilvl w:val="0"/>
          <w:numId w:val="18"/>
        </w:numPr>
      </w:pPr>
      <w:r>
        <w:t>beneficii nedeclarate corect;</w:t>
      </w:r>
    </w:p>
    <w:p w14:paraId="5E167D89" w14:textId="77777777" w:rsidR="005B1754" w:rsidRDefault="00AF1154">
      <w:pPr>
        <w:pStyle w:val="NormalWeb"/>
        <w:numPr>
          <w:ilvl w:val="0"/>
          <w:numId w:val="18"/>
        </w:numPr>
      </w:pPr>
      <w:r>
        <w:t>utilizarea excesivă a colaboratorilor.</w:t>
      </w:r>
    </w:p>
    <w:p w14:paraId="1FDAE788" w14:textId="77777777" w:rsidR="005B1754" w:rsidRDefault="005B1754">
      <w:pPr>
        <w:pStyle w:val="Heading3"/>
        <w:rPr>
          <w:rStyle w:val="Strong"/>
          <w:bCs w:val="0"/>
        </w:rPr>
      </w:pPr>
    </w:p>
    <w:p w14:paraId="2BF1226D" w14:textId="77777777" w:rsidR="005B1754" w:rsidRDefault="00AF1154">
      <w:pPr>
        <w:pStyle w:val="Heading3"/>
      </w:pPr>
      <w:r>
        <w:rPr>
          <w:rStyle w:val="Strong"/>
          <w:bCs w:val="0"/>
        </w:rPr>
        <w:t>6.6 Risc fiscal asociat patrimoniului</w:t>
      </w:r>
    </w:p>
    <w:p w14:paraId="5CC27727" w14:textId="77777777" w:rsidR="005B1754" w:rsidRDefault="00AF1154">
      <w:pPr>
        <w:pStyle w:val="NormalWeb"/>
      </w:pPr>
      <w:r>
        <w:t>Risc crescut apare la:</w:t>
      </w:r>
    </w:p>
    <w:p w14:paraId="2B61FEEB" w14:textId="77777777" w:rsidR="005B1754" w:rsidRDefault="00AF1154">
      <w:pPr>
        <w:pStyle w:val="NormalWeb"/>
        <w:numPr>
          <w:ilvl w:val="0"/>
          <w:numId w:val="6"/>
        </w:numPr>
      </w:pPr>
      <w:r>
        <w:t>amortizări agresive;</w:t>
      </w:r>
    </w:p>
    <w:p w14:paraId="697D387D" w14:textId="77777777" w:rsidR="005B1754" w:rsidRDefault="00AF1154">
      <w:pPr>
        <w:pStyle w:val="NormalWeb"/>
        <w:numPr>
          <w:ilvl w:val="0"/>
          <w:numId w:val="6"/>
        </w:numPr>
      </w:pPr>
      <w:r>
        <w:t>casări frecvente;</w:t>
      </w:r>
    </w:p>
    <w:p w14:paraId="03ECF951" w14:textId="77777777" w:rsidR="005B1754" w:rsidRDefault="00AF1154">
      <w:pPr>
        <w:pStyle w:val="NormalWeb"/>
        <w:numPr>
          <w:ilvl w:val="0"/>
          <w:numId w:val="6"/>
        </w:numPr>
      </w:pPr>
      <w:r>
        <w:t>lipsa documentelor justificative.</w:t>
      </w:r>
    </w:p>
    <w:p w14:paraId="35254D1A" w14:textId="77777777" w:rsidR="005B1754" w:rsidRDefault="005B1754">
      <w:pPr>
        <w:pStyle w:val="Heading2"/>
        <w:rPr>
          <w:rStyle w:val="Strong"/>
          <w:bCs w:val="0"/>
        </w:rPr>
      </w:pPr>
    </w:p>
    <w:p w14:paraId="730BAC85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>7. Evaluarea internă a riscului fiscal</w:t>
      </w:r>
    </w:p>
    <w:p w14:paraId="21E64E7F" w14:textId="77777777" w:rsidR="005B1754" w:rsidRDefault="00AF1154">
      <w:pPr>
        <w:pStyle w:val="NormalWeb"/>
      </w:pPr>
      <w:r>
        <w:t>Societatea efectuează periodic:</w:t>
      </w:r>
    </w:p>
    <w:p w14:paraId="1B5E326F" w14:textId="77777777" w:rsidR="005B1754" w:rsidRDefault="00AF1154">
      <w:pPr>
        <w:pStyle w:val="NormalWeb"/>
        <w:numPr>
          <w:ilvl w:val="0"/>
          <w:numId w:val="4"/>
        </w:numPr>
      </w:pPr>
      <w:r>
        <w:t>audit fiscal intern;</w:t>
      </w:r>
    </w:p>
    <w:p w14:paraId="07C18D11" w14:textId="77777777" w:rsidR="005B1754" w:rsidRDefault="00AF1154">
      <w:pPr>
        <w:pStyle w:val="NormalWeb"/>
        <w:numPr>
          <w:ilvl w:val="0"/>
          <w:numId w:val="4"/>
        </w:numPr>
      </w:pPr>
      <w:r>
        <w:t>autoevaluare pe bază de checklist;</w:t>
      </w:r>
    </w:p>
    <w:p w14:paraId="274D7641" w14:textId="77777777" w:rsidR="005B1754" w:rsidRDefault="00AF1154">
      <w:pPr>
        <w:pStyle w:val="NormalWeb"/>
        <w:numPr>
          <w:ilvl w:val="0"/>
          <w:numId w:val="4"/>
        </w:numPr>
      </w:pPr>
      <w:r>
        <w:t>analiză de risc cumulativ.</w:t>
      </w:r>
    </w:p>
    <w:p w14:paraId="61BE747A" w14:textId="77777777" w:rsidR="005B1754" w:rsidRDefault="00AF1154">
      <w:pPr>
        <w:pStyle w:val="NormalWeb"/>
        <w:rPr>
          <w:i/>
        </w:rPr>
      </w:pPr>
      <w:r>
        <w:rPr>
          <w:i/>
        </w:rPr>
        <w:t>Rezultatele se documentează și se arhivează.</w:t>
      </w:r>
    </w:p>
    <w:p w14:paraId="6287567E" w14:textId="77777777" w:rsidR="005B1754" w:rsidRDefault="005B1754">
      <w:pPr>
        <w:pStyle w:val="Heading2"/>
        <w:rPr>
          <w:rStyle w:val="Strong"/>
          <w:bCs w:val="0"/>
        </w:rPr>
      </w:pPr>
    </w:p>
    <w:p w14:paraId="7D0E085F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>8. Scorarea riscului fiscal</w:t>
      </w:r>
    </w:p>
    <w:p w14:paraId="1E64143B" w14:textId="77777777" w:rsidR="005B1754" w:rsidRDefault="00AF1154">
      <w:pPr>
        <w:pStyle w:val="NormalWeb"/>
      </w:pPr>
      <w:r>
        <w:t>Fiecărui indicator i se atribuie:</w:t>
      </w:r>
    </w:p>
    <w:p w14:paraId="0068EEAF" w14:textId="77777777" w:rsidR="005B1754" w:rsidRDefault="00AF1154">
      <w:pPr>
        <w:pStyle w:val="NormalWeb"/>
        <w:numPr>
          <w:ilvl w:val="0"/>
          <w:numId w:val="13"/>
        </w:numPr>
      </w:pPr>
      <w:r>
        <w:t>risc scăzut;</w:t>
      </w:r>
    </w:p>
    <w:p w14:paraId="54995B7B" w14:textId="77777777" w:rsidR="005B1754" w:rsidRDefault="00AF1154">
      <w:pPr>
        <w:pStyle w:val="NormalWeb"/>
        <w:numPr>
          <w:ilvl w:val="0"/>
          <w:numId w:val="13"/>
        </w:numPr>
      </w:pPr>
      <w:r>
        <w:t>risc mediu;</w:t>
      </w:r>
    </w:p>
    <w:p w14:paraId="1A576876" w14:textId="77777777" w:rsidR="005B1754" w:rsidRDefault="00AF1154">
      <w:pPr>
        <w:pStyle w:val="NormalWeb"/>
        <w:numPr>
          <w:ilvl w:val="0"/>
          <w:numId w:val="13"/>
        </w:numPr>
      </w:pPr>
      <w:r>
        <w:t>risc ridicat.</w:t>
      </w:r>
    </w:p>
    <w:p w14:paraId="264F3283" w14:textId="77777777" w:rsidR="005B1754" w:rsidRDefault="00AF1154">
      <w:pPr>
        <w:pStyle w:val="NormalWeb"/>
      </w:pPr>
      <w:r>
        <w:t xml:space="preserve">Scorul agregat determină </w:t>
      </w:r>
      <w:r>
        <w:rPr>
          <w:rStyle w:val="Strong"/>
        </w:rPr>
        <w:t>profilul de risc fiscal</w:t>
      </w:r>
      <w:r>
        <w:t>.</w:t>
      </w:r>
    </w:p>
    <w:p w14:paraId="4751958B" w14:textId="77777777" w:rsidR="005B1754" w:rsidRDefault="005B1754">
      <w:pPr>
        <w:pStyle w:val="Heading2"/>
        <w:rPr>
          <w:rStyle w:val="Strong"/>
          <w:bCs w:val="0"/>
        </w:rPr>
      </w:pPr>
    </w:p>
    <w:p w14:paraId="1FE2DA0D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>9. Măsuri de reducere a riscului fiscal</w:t>
      </w:r>
    </w:p>
    <w:p w14:paraId="5CD3F56B" w14:textId="77777777" w:rsidR="005B1754" w:rsidRDefault="00AF1154">
      <w:pPr>
        <w:pStyle w:val="NormalWeb"/>
      </w:pPr>
      <w:r>
        <w:t xml:space="preserve">Măsuri </w:t>
      </w:r>
      <w:r>
        <w:t>preventive includ:</w:t>
      </w:r>
    </w:p>
    <w:p w14:paraId="4A7AFBC3" w14:textId="77777777" w:rsidR="005B1754" w:rsidRDefault="00AF1154">
      <w:pPr>
        <w:pStyle w:val="NormalWeb"/>
        <w:numPr>
          <w:ilvl w:val="0"/>
          <w:numId w:val="12"/>
        </w:numPr>
      </w:pPr>
      <w:r>
        <w:lastRenderedPageBreak/>
        <w:t>proceduri fiscale clare;</w:t>
      </w:r>
    </w:p>
    <w:p w14:paraId="6B194546" w14:textId="77777777" w:rsidR="005B1754" w:rsidRDefault="00AF1154">
      <w:pPr>
        <w:pStyle w:val="NormalWeb"/>
        <w:numPr>
          <w:ilvl w:val="0"/>
          <w:numId w:val="12"/>
        </w:numPr>
      </w:pPr>
      <w:r>
        <w:t>verificări interne înainte de depuneri;</w:t>
      </w:r>
    </w:p>
    <w:p w14:paraId="43837BAD" w14:textId="77777777" w:rsidR="005B1754" w:rsidRDefault="00AF1154">
      <w:pPr>
        <w:pStyle w:val="NormalWeb"/>
        <w:numPr>
          <w:ilvl w:val="0"/>
          <w:numId w:val="12"/>
        </w:numPr>
      </w:pPr>
      <w:r>
        <w:t>documentare riguroasă a pozițiilor fiscale;</w:t>
      </w:r>
    </w:p>
    <w:p w14:paraId="262C6F65" w14:textId="77777777" w:rsidR="005B1754" w:rsidRDefault="00AF1154">
      <w:pPr>
        <w:pStyle w:val="NormalWeb"/>
        <w:numPr>
          <w:ilvl w:val="0"/>
          <w:numId w:val="12"/>
        </w:numPr>
      </w:pPr>
      <w:r>
        <w:t>limitarea modificărilor frecvente.</w:t>
      </w:r>
    </w:p>
    <w:p w14:paraId="11BA3D7A" w14:textId="4B5A516F" w:rsidR="005B1754" w:rsidRDefault="00AF1154">
      <w:pPr>
        <w:pStyle w:val="NormalWeb"/>
      </w:pPr>
      <w:r>
        <w:rPr>
          <w:rStyle w:val="Strong"/>
        </w:rPr>
        <w:t>Exemplu:</w:t>
      </w:r>
      <w:r>
        <w:br/>
        <w:t>Verificare lunară e-Factura ↔ TVA ↔ contabilitate.</w:t>
      </w:r>
    </w:p>
    <w:p w14:paraId="30D5253F" w14:textId="77777777" w:rsidR="005B1754" w:rsidRDefault="005B1754">
      <w:pPr>
        <w:pStyle w:val="Heading2"/>
        <w:rPr>
          <w:rStyle w:val="Strong"/>
          <w:bCs w:val="0"/>
        </w:rPr>
      </w:pPr>
    </w:p>
    <w:p w14:paraId="7C02B700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 xml:space="preserve">10. Rolul </w:t>
      </w:r>
      <w:r w:rsidRPr="00AF1154">
        <w:rPr>
          <w:rStyle w:val="Strong"/>
          <w:b/>
          <w:i w:val="0"/>
          <w:iCs/>
        </w:rPr>
        <w:t>administratorului în gestionarea riscului fiscal</w:t>
      </w:r>
    </w:p>
    <w:p w14:paraId="0F338865" w14:textId="77777777" w:rsidR="005B1754" w:rsidRDefault="00AF1154">
      <w:pPr>
        <w:pStyle w:val="NormalWeb"/>
      </w:pPr>
      <w:r>
        <w:t>Administratorul are obligația:</w:t>
      </w:r>
    </w:p>
    <w:p w14:paraId="470434E0" w14:textId="77777777" w:rsidR="005B1754" w:rsidRDefault="00AF1154">
      <w:pPr>
        <w:pStyle w:val="NormalWeb"/>
        <w:numPr>
          <w:ilvl w:val="0"/>
          <w:numId w:val="2"/>
        </w:numPr>
      </w:pPr>
      <w:r>
        <w:t>să cunoască zonele de risc;</w:t>
      </w:r>
    </w:p>
    <w:p w14:paraId="076D5955" w14:textId="77777777" w:rsidR="005B1754" w:rsidRDefault="00AF1154">
      <w:pPr>
        <w:pStyle w:val="NormalWeb"/>
        <w:numPr>
          <w:ilvl w:val="0"/>
          <w:numId w:val="2"/>
        </w:numPr>
      </w:pPr>
      <w:r>
        <w:t>să aprobe măsurile preventive;</w:t>
      </w:r>
    </w:p>
    <w:p w14:paraId="0908D132" w14:textId="77777777" w:rsidR="005B1754" w:rsidRDefault="00AF1154">
      <w:pPr>
        <w:pStyle w:val="NormalWeb"/>
        <w:numPr>
          <w:ilvl w:val="0"/>
          <w:numId w:val="2"/>
        </w:numPr>
      </w:pPr>
      <w:r>
        <w:t>să monitorizeze indicatorii;</w:t>
      </w:r>
    </w:p>
    <w:p w14:paraId="324E314C" w14:textId="77777777" w:rsidR="005B1754" w:rsidRDefault="00AF1154">
      <w:pPr>
        <w:pStyle w:val="NormalWeb"/>
        <w:numPr>
          <w:ilvl w:val="0"/>
          <w:numId w:val="2"/>
        </w:numPr>
      </w:pPr>
      <w:r>
        <w:t>să intervină la semnale de risc.</w:t>
      </w:r>
    </w:p>
    <w:p w14:paraId="7CC60B0B" w14:textId="77777777" w:rsidR="005B1754" w:rsidRPr="00AF1154" w:rsidRDefault="00AF1154">
      <w:pPr>
        <w:pStyle w:val="NormalWeb"/>
        <w:rPr>
          <w:i/>
          <w:iCs/>
        </w:rPr>
      </w:pPr>
      <w:r w:rsidRPr="00AF1154">
        <w:rPr>
          <w:rStyle w:val="Strong"/>
          <w:i/>
          <w:iCs/>
        </w:rPr>
        <w:t>Atenționare:</w:t>
      </w:r>
      <w:r w:rsidRPr="00AF1154">
        <w:rPr>
          <w:i/>
          <w:iCs/>
        </w:rPr>
        <w:br/>
        <w:t>Pasivitatea administratorului poate fi interpretată ca neglijență fiscală.</w:t>
      </w:r>
    </w:p>
    <w:p w14:paraId="54A2AE6A" w14:textId="77777777" w:rsidR="005B1754" w:rsidRDefault="005B1754">
      <w:pPr>
        <w:pStyle w:val="Heading2"/>
        <w:rPr>
          <w:rStyle w:val="Strong"/>
          <w:bCs w:val="0"/>
        </w:rPr>
      </w:pPr>
    </w:p>
    <w:p w14:paraId="0009F772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>11. Monitorizare și raportare internă</w:t>
      </w:r>
    </w:p>
    <w:p w14:paraId="19668936" w14:textId="77777777" w:rsidR="005B1754" w:rsidRDefault="00AF1154">
      <w:pPr>
        <w:pStyle w:val="NormalWeb"/>
      </w:pPr>
      <w:r>
        <w:t>Se realizează:</w:t>
      </w:r>
    </w:p>
    <w:p w14:paraId="0DAAAA53" w14:textId="77777777" w:rsidR="005B1754" w:rsidRDefault="00AF1154">
      <w:pPr>
        <w:pStyle w:val="NormalWeb"/>
        <w:numPr>
          <w:ilvl w:val="0"/>
          <w:numId w:val="20"/>
        </w:numPr>
      </w:pPr>
      <w:r>
        <w:t>rapoarte interne de risc fiscal;</w:t>
      </w:r>
    </w:p>
    <w:p w14:paraId="6754DAC8" w14:textId="77777777" w:rsidR="005B1754" w:rsidRDefault="00AF1154">
      <w:pPr>
        <w:pStyle w:val="NormalWeb"/>
        <w:numPr>
          <w:ilvl w:val="0"/>
          <w:numId w:val="20"/>
        </w:numPr>
      </w:pPr>
      <w:r>
        <w:t>informări către management;</w:t>
      </w:r>
    </w:p>
    <w:p w14:paraId="3D5A0DE1" w14:textId="77777777" w:rsidR="005B1754" w:rsidRDefault="00AF1154">
      <w:pPr>
        <w:pStyle w:val="NormalWeb"/>
        <w:numPr>
          <w:ilvl w:val="0"/>
          <w:numId w:val="20"/>
        </w:numPr>
      </w:pPr>
      <w:r>
        <w:t>follow-up pe măsuri corective.</w:t>
      </w:r>
    </w:p>
    <w:p w14:paraId="42D35598" w14:textId="77777777" w:rsidR="005B1754" w:rsidRDefault="005B1754">
      <w:pPr>
        <w:pStyle w:val="Heading2"/>
        <w:rPr>
          <w:rStyle w:val="Strong"/>
          <w:bCs w:val="0"/>
        </w:rPr>
      </w:pPr>
    </w:p>
    <w:p w14:paraId="40876E6D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>12. Integrarea cu auditul intern</w:t>
      </w:r>
    </w:p>
    <w:p w14:paraId="26A42D02" w14:textId="77777777" w:rsidR="005B1754" w:rsidRDefault="00AF1154">
      <w:pPr>
        <w:pStyle w:val="NormalWeb"/>
      </w:pPr>
      <w:r>
        <w:t>Procedura este corelată cu:</w:t>
      </w:r>
    </w:p>
    <w:p w14:paraId="035F5E4D" w14:textId="77777777" w:rsidR="005B1754" w:rsidRDefault="00AF1154">
      <w:pPr>
        <w:pStyle w:val="NormalWeb"/>
        <w:numPr>
          <w:ilvl w:val="0"/>
          <w:numId w:val="9"/>
        </w:numPr>
      </w:pPr>
      <w:r>
        <w:t xml:space="preserve">auditul </w:t>
      </w:r>
      <w:r>
        <w:t>intern;</w:t>
      </w:r>
    </w:p>
    <w:p w14:paraId="7CB168C4" w14:textId="77777777" w:rsidR="005B1754" w:rsidRDefault="00AF1154">
      <w:pPr>
        <w:pStyle w:val="NormalWeb"/>
        <w:numPr>
          <w:ilvl w:val="0"/>
          <w:numId w:val="9"/>
        </w:numPr>
      </w:pPr>
      <w:r>
        <w:t>registrul neconformităților;</w:t>
      </w:r>
    </w:p>
    <w:p w14:paraId="3D0D1B44" w14:textId="77777777" w:rsidR="005B1754" w:rsidRDefault="00AF1154">
      <w:pPr>
        <w:pStyle w:val="NormalWeb"/>
        <w:numPr>
          <w:ilvl w:val="0"/>
          <w:numId w:val="9"/>
        </w:numPr>
      </w:pPr>
      <w:r>
        <w:t>planul anual de audit.</w:t>
      </w:r>
    </w:p>
    <w:p w14:paraId="3ADBE77B" w14:textId="77777777" w:rsidR="005B1754" w:rsidRDefault="005B1754">
      <w:pPr>
        <w:pStyle w:val="Heading2"/>
        <w:rPr>
          <w:rStyle w:val="Strong"/>
          <w:bCs w:val="0"/>
        </w:rPr>
      </w:pPr>
    </w:p>
    <w:p w14:paraId="214C231E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>13. Arhivare și trasabilitate</w:t>
      </w:r>
    </w:p>
    <w:p w14:paraId="00EBE9AE" w14:textId="77777777" w:rsidR="005B1754" w:rsidRDefault="00AF1154">
      <w:pPr>
        <w:pStyle w:val="NormalWeb"/>
      </w:pPr>
      <w:r>
        <w:t>Documentele privind riscul fiscal se arhivează:</w:t>
      </w:r>
    </w:p>
    <w:p w14:paraId="75705907" w14:textId="77777777" w:rsidR="005B1754" w:rsidRDefault="00AF1154">
      <w:pPr>
        <w:pStyle w:val="NormalWeb"/>
        <w:numPr>
          <w:ilvl w:val="0"/>
          <w:numId w:val="14"/>
        </w:numPr>
      </w:pPr>
      <w:r>
        <w:t>structurat;</w:t>
      </w:r>
    </w:p>
    <w:p w14:paraId="721450CF" w14:textId="77777777" w:rsidR="005B1754" w:rsidRDefault="00AF1154">
      <w:pPr>
        <w:pStyle w:val="NormalWeb"/>
        <w:numPr>
          <w:ilvl w:val="0"/>
          <w:numId w:val="14"/>
        </w:numPr>
      </w:pPr>
      <w:r>
        <w:lastRenderedPageBreak/>
        <w:t>electronic;</w:t>
      </w:r>
    </w:p>
    <w:p w14:paraId="106D16E7" w14:textId="77777777" w:rsidR="005B1754" w:rsidRDefault="00AF1154">
      <w:pPr>
        <w:pStyle w:val="NormalWeb"/>
        <w:numPr>
          <w:ilvl w:val="0"/>
          <w:numId w:val="14"/>
        </w:numPr>
      </w:pPr>
      <w:r>
        <w:t>pe minimum perioada legală.</w:t>
      </w:r>
    </w:p>
    <w:p w14:paraId="44145F94" w14:textId="77777777" w:rsidR="005B1754" w:rsidRDefault="005B1754">
      <w:pPr>
        <w:pStyle w:val="Heading2"/>
        <w:rPr>
          <w:rStyle w:val="Strong"/>
          <w:bCs w:val="0"/>
        </w:rPr>
      </w:pPr>
    </w:p>
    <w:p w14:paraId="5CA38B6D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>14. Sancțiuni și consecințe</w:t>
      </w:r>
    </w:p>
    <w:p w14:paraId="0928CC90" w14:textId="77777777" w:rsidR="005B1754" w:rsidRDefault="00AF1154">
      <w:pPr>
        <w:pStyle w:val="NormalWeb"/>
      </w:pPr>
      <w:r>
        <w:t>Ignorarea riscului fiscal poate conduce la:</w:t>
      </w:r>
    </w:p>
    <w:p w14:paraId="7D3C5C5E" w14:textId="77777777" w:rsidR="005B1754" w:rsidRDefault="00AF1154">
      <w:pPr>
        <w:pStyle w:val="NormalWeb"/>
        <w:numPr>
          <w:ilvl w:val="0"/>
          <w:numId w:val="7"/>
        </w:numPr>
      </w:pPr>
      <w:r>
        <w:t>includerea în categoria de risc ridicat;</w:t>
      </w:r>
    </w:p>
    <w:p w14:paraId="0FB07ADC" w14:textId="77777777" w:rsidR="005B1754" w:rsidRDefault="00AF1154">
      <w:pPr>
        <w:pStyle w:val="NormalWeb"/>
        <w:numPr>
          <w:ilvl w:val="0"/>
          <w:numId w:val="7"/>
        </w:numPr>
      </w:pPr>
      <w:r>
        <w:t>controale fiscale extinse;</w:t>
      </w:r>
    </w:p>
    <w:p w14:paraId="00661561" w14:textId="77777777" w:rsidR="005B1754" w:rsidRDefault="00AF1154">
      <w:pPr>
        <w:pStyle w:val="NormalWeb"/>
        <w:numPr>
          <w:ilvl w:val="0"/>
          <w:numId w:val="7"/>
        </w:numPr>
      </w:pPr>
      <w:r>
        <w:t>ajustări semnificative;</w:t>
      </w:r>
    </w:p>
    <w:p w14:paraId="674EDA57" w14:textId="77777777" w:rsidR="005B1754" w:rsidRDefault="00AF1154">
      <w:pPr>
        <w:pStyle w:val="NormalWeb"/>
        <w:numPr>
          <w:ilvl w:val="0"/>
          <w:numId w:val="7"/>
        </w:numPr>
      </w:pPr>
      <w:r>
        <w:t>penalități și dobânzi;</w:t>
      </w:r>
    </w:p>
    <w:p w14:paraId="571B2CF9" w14:textId="77777777" w:rsidR="005B1754" w:rsidRDefault="00AF1154">
      <w:pPr>
        <w:pStyle w:val="NormalWeb"/>
        <w:numPr>
          <w:ilvl w:val="0"/>
          <w:numId w:val="7"/>
        </w:numPr>
      </w:pPr>
      <w:r>
        <w:t>răspunderea administratorului.</w:t>
      </w:r>
    </w:p>
    <w:p w14:paraId="48992DDD" w14:textId="77777777" w:rsidR="005B1754" w:rsidRDefault="005B1754">
      <w:pPr>
        <w:pStyle w:val="Heading2"/>
        <w:rPr>
          <w:rStyle w:val="Strong"/>
          <w:bCs w:val="0"/>
        </w:rPr>
      </w:pPr>
    </w:p>
    <w:p w14:paraId="37815638" w14:textId="77777777" w:rsidR="005B1754" w:rsidRPr="00AF1154" w:rsidRDefault="00AF1154">
      <w:pPr>
        <w:pStyle w:val="Heading2"/>
        <w:rPr>
          <w:b w:val="0"/>
          <w:i w:val="0"/>
          <w:iCs/>
        </w:rPr>
      </w:pPr>
      <w:r w:rsidRPr="00AF1154">
        <w:rPr>
          <w:rStyle w:val="Strong"/>
          <w:b/>
          <w:i w:val="0"/>
          <w:iCs/>
        </w:rPr>
        <w:t>15. Revizuirea procedurii</w:t>
      </w:r>
    </w:p>
    <w:p w14:paraId="77D58180" w14:textId="77777777" w:rsidR="005B1754" w:rsidRDefault="00AF1154">
      <w:pPr>
        <w:pStyle w:val="NormalWeb"/>
      </w:pPr>
      <w:r>
        <w:t>Procedura se revizuiește:</w:t>
      </w:r>
    </w:p>
    <w:p w14:paraId="54D5FF90" w14:textId="77777777" w:rsidR="005B1754" w:rsidRDefault="00AF1154">
      <w:pPr>
        <w:pStyle w:val="NormalWeb"/>
        <w:numPr>
          <w:ilvl w:val="0"/>
          <w:numId w:val="8"/>
        </w:numPr>
      </w:pPr>
      <w:r>
        <w:t>anual;</w:t>
      </w:r>
    </w:p>
    <w:p w14:paraId="30BA1F17" w14:textId="77777777" w:rsidR="005B1754" w:rsidRDefault="00AF1154">
      <w:pPr>
        <w:pStyle w:val="NormalWeb"/>
        <w:numPr>
          <w:ilvl w:val="0"/>
          <w:numId w:val="8"/>
        </w:numPr>
      </w:pPr>
      <w:r>
        <w:t>la modificări legislative;</w:t>
      </w:r>
    </w:p>
    <w:p w14:paraId="6F477EC8" w14:textId="77777777" w:rsidR="005B1754" w:rsidRDefault="00AF1154">
      <w:pPr>
        <w:pStyle w:val="NormalWeb"/>
        <w:numPr>
          <w:ilvl w:val="0"/>
          <w:numId w:val="8"/>
        </w:numPr>
      </w:pPr>
      <w:r>
        <w:t>după controale fiscale semnificative.</w:t>
      </w:r>
    </w:p>
    <w:p w14:paraId="24D7BF29" w14:textId="77777777" w:rsidR="005B1754" w:rsidRDefault="005B1754">
      <w:pPr>
        <w:pStyle w:val="Heading2"/>
        <w:rPr>
          <w:rStyle w:val="Strong"/>
          <w:bCs w:val="0"/>
        </w:rPr>
      </w:pPr>
    </w:p>
    <w:p w14:paraId="03CD4F28" w14:textId="77777777" w:rsidR="005B1754" w:rsidRPr="00AF1154" w:rsidRDefault="00AF1154">
      <w:pPr>
        <w:pStyle w:val="Heading2"/>
        <w:rPr>
          <w:b w:val="0"/>
        </w:rPr>
      </w:pPr>
      <w:r w:rsidRPr="00AF1154">
        <w:rPr>
          <w:rStyle w:val="Strong"/>
          <w:b/>
        </w:rPr>
        <w:t>16. Dispoziții finale</w:t>
      </w:r>
    </w:p>
    <w:p w14:paraId="76625B0A" w14:textId="77777777" w:rsidR="005B1754" w:rsidRDefault="00AF1154">
      <w:pPr>
        <w:pStyle w:val="NormalWeb"/>
      </w:pPr>
      <w:r>
        <w:t>Prezenta procedură intră în vigoare la data aprobării și este obligatorie pentru toate persoanele implicate.</w:t>
      </w:r>
    </w:p>
    <w:p w14:paraId="364B809A" w14:textId="77777777" w:rsidR="005B1754" w:rsidRDefault="005B1754">
      <w:pPr>
        <w:pStyle w:val="Heading3"/>
        <w:rPr>
          <w:rFonts w:ascii="Times New Roman" w:hAnsi="Times New Roman" w:cs="Times New Roman"/>
        </w:rPr>
      </w:pPr>
    </w:p>
    <w:p w14:paraId="09915211" w14:textId="62F2F5D3" w:rsidR="005B1754" w:rsidRPr="00AF1154" w:rsidRDefault="00AF1154">
      <w:pPr>
        <w:pStyle w:val="Heading3"/>
        <w:rPr>
          <w:b w:val="0"/>
        </w:rPr>
      </w:pPr>
      <w:r w:rsidRPr="00AF1154">
        <w:rPr>
          <w:rStyle w:val="Strong"/>
          <w:b/>
        </w:rPr>
        <w:t>NOTĂ FINALĂ PENTRU ADMINISTRATORI</w:t>
      </w:r>
    </w:p>
    <w:p w14:paraId="2705F98B" w14:textId="1DCD8C13" w:rsidR="005B1754" w:rsidRDefault="00AF1154">
      <w:pPr>
        <w:pStyle w:val="NormalWeb"/>
      </w:pPr>
      <w:r>
        <w:t>Această procedură:</w:t>
      </w:r>
    </w:p>
    <w:p w14:paraId="2B431925" w14:textId="77777777" w:rsidR="005B1754" w:rsidRDefault="00AF1154">
      <w:pPr>
        <w:pStyle w:val="NormalWeb"/>
        <w:numPr>
          <w:ilvl w:val="0"/>
          <w:numId w:val="16"/>
        </w:numPr>
      </w:pPr>
      <w:r>
        <w:t xml:space="preserve">demonstrează </w:t>
      </w:r>
      <w:r>
        <w:rPr>
          <w:rStyle w:val="Strong"/>
        </w:rPr>
        <w:t xml:space="preserve">gestionarea activă a </w:t>
      </w:r>
      <w:r>
        <w:rPr>
          <w:rStyle w:val="Strong"/>
        </w:rPr>
        <w:t>riscului fiscal</w:t>
      </w:r>
      <w:r>
        <w:t>;</w:t>
      </w:r>
    </w:p>
    <w:p w14:paraId="48287D81" w14:textId="77777777" w:rsidR="005B1754" w:rsidRDefault="00AF1154">
      <w:pPr>
        <w:pStyle w:val="NormalWeb"/>
        <w:numPr>
          <w:ilvl w:val="0"/>
          <w:numId w:val="16"/>
        </w:numPr>
      </w:pPr>
      <w:r>
        <w:t>reduce probabilitatea controalelor ANAF;</w:t>
      </w:r>
    </w:p>
    <w:p w14:paraId="54638844" w14:textId="77777777" w:rsidR="005B1754" w:rsidRDefault="00AF1154">
      <w:pPr>
        <w:pStyle w:val="NormalWeb"/>
        <w:numPr>
          <w:ilvl w:val="0"/>
          <w:numId w:val="16"/>
        </w:numPr>
      </w:pPr>
      <w:r>
        <w:t>susține apărarea în litigii;</w:t>
      </w:r>
    </w:p>
    <w:p w14:paraId="096F80B5" w14:textId="77777777" w:rsidR="005B1754" w:rsidRDefault="00AF1154">
      <w:pPr>
        <w:pStyle w:val="NormalWeb"/>
        <w:numPr>
          <w:ilvl w:val="0"/>
          <w:numId w:val="16"/>
        </w:numPr>
      </w:pPr>
      <w:r>
        <w:t xml:space="preserve">este document de </w:t>
      </w:r>
      <w:r>
        <w:rPr>
          <w:rStyle w:val="Strong"/>
        </w:rPr>
        <w:t>guvernanță fiscală matură (2026)</w:t>
      </w:r>
      <w:r>
        <w:t>.</w:t>
      </w:r>
    </w:p>
    <w:p w14:paraId="15A957BA" w14:textId="77777777" w:rsidR="005B1754" w:rsidRDefault="005B1754"/>
    <w:sectPr w:rsidR="005B1754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E33"/>
    <w:multiLevelType w:val="multilevel"/>
    <w:tmpl w:val="C1B6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C136948"/>
    <w:multiLevelType w:val="multilevel"/>
    <w:tmpl w:val="6B56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4156A6B"/>
    <w:multiLevelType w:val="multilevel"/>
    <w:tmpl w:val="9A3A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43D62E8"/>
    <w:multiLevelType w:val="multilevel"/>
    <w:tmpl w:val="4098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46F707C"/>
    <w:multiLevelType w:val="multilevel"/>
    <w:tmpl w:val="216A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D607B0F"/>
    <w:multiLevelType w:val="multilevel"/>
    <w:tmpl w:val="6880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F200FB3"/>
    <w:multiLevelType w:val="multilevel"/>
    <w:tmpl w:val="038C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0C77C8E"/>
    <w:multiLevelType w:val="multilevel"/>
    <w:tmpl w:val="5034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3417BBC"/>
    <w:multiLevelType w:val="multilevel"/>
    <w:tmpl w:val="65B2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E6A3068"/>
    <w:multiLevelType w:val="multilevel"/>
    <w:tmpl w:val="A386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489A009A"/>
    <w:multiLevelType w:val="multilevel"/>
    <w:tmpl w:val="8D602FA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B455D2A"/>
    <w:multiLevelType w:val="multilevel"/>
    <w:tmpl w:val="AE50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BB36645"/>
    <w:multiLevelType w:val="multilevel"/>
    <w:tmpl w:val="7A0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577A387E"/>
    <w:multiLevelType w:val="multilevel"/>
    <w:tmpl w:val="E54A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C492F61"/>
    <w:multiLevelType w:val="multilevel"/>
    <w:tmpl w:val="C2A2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5C89463F"/>
    <w:multiLevelType w:val="multilevel"/>
    <w:tmpl w:val="3E30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5F4F234A"/>
    <w:multiLevelType w:val="multilevel"/>
    <w:tmpl w:val="03AC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5FDB1F78"/>
    <w:multiLevelType w:val="multilevel"/>
    <w:tmpl w:val="124E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685D05F6"/>
    <w:multiLevelType w:val="multilevel"/>
    <w:tmpl w:val="AE12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6A2C74DF"/>
    <w:multiLevelType w:val="multilevel"/>
    <w:tmpl w:val="E06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6BA60DDD"/>
    <w:multiLevelType w:val="multilevel"/>
    <w:tmpl w:val="F99A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6EBF6444"/>
    <w:multiLevelType w:val="multilevel"/>
    <w:tmpl w:val="8AC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781952047">
    <w:abstractNumId w:val="10"/>
  </w:num>
  <w:num w:numId="2" w16cid:durableId="438331012">
    <w:abstractNumId w:val="15"/>
  </w:num>
  <w:num w:numId="3" w16cid:durableId="1435513871">
    <w:abstractNumId w:val="17"/>
  </w:num>
  <w:num w:numId="4" w16cid:durableId="1747920526">
    <w:abstractNumId w:val="5"/>
  </w:num>
  <w:num w:numId="5" w16cid:durableId="1034769396">
    <w:abstractNumId w:val="11"/>
  </w:num>
  <w:num w:numId="6" w16cid:durableId="393894992">
    <w:abstractNumId w:val="13"/>
  </w:num>
  <w:num w:numId="7" w16cid:durableId="1509641797">
    <w:abstractNumId w:val="20"/>
  </w:num>
  <w:num w:numId="8" w16cid:durableId="565335452">
    <w:abstractNumId w:val="21"/>
  </w:num>
  <w:num w:numId="9" w16cid:durableId="1223832013">
    <w:abstractNumId w:val="19"/>
  </w:num>
  <w:num w:numId="10" w16cid:durableId="712658360">
    <w:abstractNumId w:val="18"/>
  </w:num>
  <w:num w:numId="11" w16cid:durableId="34433633">
    <w:abstractNumId w:val="7"/>
  </w:num>
  <w:num w:numId="12" w16cid:durableId="1286933137">
    <w:abstractNumId w:val="16"/>
  </w:num>
  <w:num w:numId="13" w16cid:durableId="537813268">
    <w:abstractNumId w:val="1"/>
  </w:num>
  <w:num w:numId="14" w16cid:durableId="1724134228">
    <w:abstractNumId w:val="12"/>
  </w:num>
  <w:num w:numId="15" w16cid:durableId="1733581381">
    <w:abstractNumId w:val="3"/>
  </w:num>
  <w:num w:numId="16" w16cid:durableId="1588884007">
    <w:abstractNumId w:val="14"/>
  </w:num>
  <w:num w:numId="17" w16cid:durableId="444080743">
    <w:abstractNumId w:val="4"/>
  </w:num>
  <w:num w:numId="18" w16cid:durableId="1651401031">
    <w:abstractNumId w:val="8"/>
  </w:num>
  <w:num w:numId="19" w16cid:durableId="822163694">
    <w:abstractNumId w:val="9"/>
  </w:num>
  <w:num w:numId="20" w16cid:durableId="918489496">
    <w:abstractNumId w:val="6"/>
  </w:num>
  <w:num w:numId="21" w16cid:durableId="1899052149">
    <w:abstractNumId w:val="0"/>
  </w:num>
  <w:num w:numId="22" w16cid:durableId="114007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1754"/>
    <w:rsid w:val="002A5F92"/>
    <w:rsid w:val="005B1754"/>
    <w:rsid w:val="00A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BFEB"/>
  <w15:docId w15:val="{1E8DC36E-0CBB-420E-9089-6D2E48B6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6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538</cp:revision>
  <cp:lastPrinted>2024-12-10T11:09:00Z</cp:lastPrinted>
  <dcterms:created xsi:type="dcterms:W3CDTF">2013-08-26T08:01:00Z</dcterms:created>
  <dcterms:modified xsi:type="dcterms:W3CDTF">2026-05-08T12:34:00Z</dcterms:modified>
  <dc:language>en-US</dc:language>
</cp:coreProperties>
</file>